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Aktis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3,161,348.00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3,161,348.00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3,161,348.00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53,403,173 shares of Common Stock outstanding as of March 10, 2026, as reported on the Issuer's 10-K filed with the Securities and Exchange Commission on March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0"/>
        <w:gridCol w:w="8970"/>
        <w:gridCol w:w="155"/>
      </w:tblGrid>
      <w:tr>
        <w:trPr/>
        <w:tc>
          <w:tcPr>
            <w:tcW w:w="1080" w:type="dxa"/>
            <w:tcBorders/>
            <w:vAlign w:val="center"/>
          </w:tcPr>
          <w:p>
            <w:pPr>
              <w:pStyle w:val="TableContents"/>
              <w:bidi w:val="0"/>
              <w:spacing w:before="0" w:after="283"/>
              <w:jc w:val="left"/>
              <w:rPr/>
            </w:pPr>
            <w:r>
              <w:rPr/>
              <w:t>Item 1.</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issuer: </w:t>
            </w:r>
          </w:p>
          <w:p>
            <w:pPr>
              <w:pStyle w:val="TableContents"/>
              <w:bidi w:val="0"/>
              <w:spacing w:before="0" w:after="0"/>
              <w:jc w:val="left"/>
              <w:rPr/>
            </w:pPr>
            <w:r>
              <w:rPr/>
              <w:t>Aktis Oncology, Inc.</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 Drydock Avenue, Suite 17-401,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2.</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3.</w:t>
            </w:r>
          </w:p>
        </w:tc>
        <w:tc>
          <w:tcPr>
            <w:tcW w:w="897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(f)</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(g)</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(h)</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(j)</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(k)</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4.</w:t>
            </w:r>
          </w:p>
        </w:tc>
        <w:tc>
          <w:tcPr>
            <w:tcW w:w="897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 Pursuant to Rule 13d-4 of the Act, the Reporting Person declares that filing this statement shall not be deemed an admission that the Reporting Person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5.</w:t>
            </w:r>
          </w:p>
        </w:tc>
        <w:tc>
          <w:tcPr>
            <w:tcW w:w="897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6.</w:t>
            </w:r>
          </w:p>
        </w:tc>
        <w:tc>
          <w:tcPr>
            <w:tcW w:w="897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7.</w:t>
            </w:r>
          </w:p>
        </w:tc>
        <w:tc>
          <w:tcPr>
            <w:tcW w:w="89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8.</w:t>
            </w:r>
          </w:p>
        </w:tc>
        <w:tc>
          <w:tcPr>
            <w:tcW w:w="897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9.</w:t>
            </w:r>
          </w:p>
        </w:tc>
        <w:tc>
          <w:tcPr>
            <w:tcW w:w="897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4469</Characters>
  <CharactersWithSpaces>5350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