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2035832-20260331.htm"/>
        <w:bookmarkStart w:id="1" w:name="ksck0002035832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001-43047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Aktis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2686"/>
        <w:gridCol w:w="1246"/>
      </w:tblGrid>
      <w:tr>
        <w:trPr/>
        <w:tc>
          <w:tcPr>
            <w:tcW w:w="26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85-2584233</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8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17 Drydock Avenue, Suite 17-401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Boston,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461-4023</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AKTS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The number of shares of Registrant’s Common Stock and Class A common stock outstanding as of April 30, 2026 was 53,404,618</w:t>
      </w:r>
      <w:r>
        <w:rPr>
          <w:rFonts w:ascii="Times New Roman" w:hAnsi="Times New Roman"/>
          <w:color w:val="000000"/>
          <w:sz w:val="20"/>
        </w:rPr>
        <w:t xml:space="preserve"> </w:t>
      </w:r>
      <w:r>
        <w:rPr>
          <w:rFonts w:ascii="Times New Roman" w:hAnsi="Times New Roman"/>
          <w:color w:val="000000"/>
          <w:sz w:val="18"/>
        </w:rPr>
        <w:t>and 1,872,829, respectively.</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neither historical facts nor assurances of future performance.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scope, progress and results of our research and development programs, preclinical studies, clinical trials, investigational new drug or biological license applications, and other regulatory submissions;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timing of, and costs involved in, obtaining and maintaining regulatory approval of [</w:t>
      </w:r>
      <w:r>
        <w:rPr>
          <w:rFonts w:ascii="Times New Roman" w:hAnsi="Times New Roman"/>
          <w:color w:val="000000"/>
          <w:sz w:val="13"/>
        </w:rPr>
        <w:t>225</w:t>
      </w:r>
      <w:r>
        <w:rPr>
          <w:rFonts w:ascii="Times New Roman" w:hAnsi="Times New Roman"/>
          <w:color w:val="000000"/>
          <w:sz w:val="20"/>
        </w:rPr>
        <w:t>Ac]Ac-AKY-1189 for Nectin-4 expressing tumors, [</w:t>
      </w:r>
      <w:r>
        <w:rPr>
          <w:rFonts w:ascii="Times New Roman" w:hAnsi="Times New Roman"/>
          <w:color w:val="000000"/>
          <w:sz w:val="13"/>
        </w:rPr>
        <w:t>225</w:t>
      </w:r>
      <w:r>
        <w:rPr>
          <w:rFonts w:ascii="Times New Roman" w:hAnsi="Times New Roman"/>
          <w:color w:val="000000"/>
          <w:sz w:val="20"/>
        </w:rPr>
        <w:t xml:space="preserve">Ac]Ac-AKY-2519 for B7-H3 expressing tumors and any other current or future product candidates that we may identify or develop;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ability to obtain an adequate supply at reasonable costs of </w:t>
      </w:r>
      <w:r>
        <w:rPr>
          <w:rFonts w:ascii="Times New Roman" w:hAnsi="Times New Roman"/>
          <w:color w:val="000000"/>
          <w:sz w:val="13"/>
        </w:rPr>
        <w:t>225</w:t>
      </w:r>
      <w:r>
        <w:rPr>
          <w:rFonts w:ascii="Times New Roman" w:hAnsi="Times New Roman"/>
          <w:color w:val="000000"/>
          <w:sz w:val="20"/>
        </w:rPr>
        <w:t xml:space="preserve">Ac or any other radioisotope we may incorporate into our drug candidates;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address the fulfillment and logistical challenges posed by the time-limited stabilization of [</w:t>
      </w:r>
      <w:r>
        <w:rPr>
          <w:rFonts w:ascii="Times New Roman" w:hAnsi="Times New Roman"/>
          <w:color w:val="000000"/>
          <w:sz w:val="13"/>
        </w:rPr>
        <w:t>225</w:t>
      </w:r>
      <w:r>
        <w:rPr>
          <w:rFonts w:ascii="Times New Roman" w:hAnsi="Times New Roman"/>
          <w:color w:val="000000"/>
          <w:sz w:val="20"/>
        </w:rPr>
        <w:t xml:space="preserve">Ac]Ac-AKY-1189 for UC and other Nectin-4 expressing tumors or any other current or future product candidate we develop;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obtain funding for our operations necessary to complete the clinical trials for [</w:t>
      </w:r>
      <w:r>
        <w:rPr>
          <w:rFonts w:ascii="Times New Roman" w:hAnsi="Times New Roman"/>
          <w:color w:val="000000"/>
          <w:sz w:val="13"/>
        </w:rPr>
        <w:t>225</w:t>
      </w:r>
      <w:r>
        <w:rPr>
          <w:rFonts w:ascii="Times New Roman" w:hAnsi="Times New Roman"/>
          <w:color w:val="000000"/>
          <w:sz w:val="20"/>
        </w:rPr>
        <w:t xml:space="preserve">Ac]Ac-AKY-1189 for Nectin-4 expressing tumors, our other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patients with the diseases treated by our product candidates, and to enroll patients in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the size of the patient populations, market acceptance and opportunity for and clinical utility of our product candidates, if approved for commercial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advance our miniprotein radioconjugate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including our ability to comply with our financial obligations pursuant to the terms of such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likelihood of the achievement of milestones pursuant to our existing collaboration and licensing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and develop product candidates for treatment of additional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commercialization, marketing and manufacturing capabilities and strategy, including the timing and costs of constructing our own current Good Manufacturing Practices facility;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third-party service providers, including our suppliers and manufacturers;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rate and degree of market acceptance and clinical utility for, [</w:t>
      </w:r>
      <w:r>
        <w:rPr>
          <w:rFonts w:ascii="Times New Roman" w:hAnsi="Times New Roman"/>
          <w:color w:val="000000"/>
          <w:sz w:val="13"/>
        </w:rPr>
        <w:t>225</w:t>
      </w:r>
      <w:r>
        <w:rPr>
          <w:rFonts w:ascii="Times New Roman" w:hAnsi="Times New Roman"/>
          <w:color w:val="000000"/>
          <w:sz w:val="20"/>
        </w:rPr>
        <w:t xml:space="preserve">Ac]Ac-AKY-1189 for UC and any other Nectin-4 expressing tumors, and any other current or future product candidates we may develop;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effects of competition with respect to [</w:t>
      </w:r>
      <w:r>
        <w:rPr>
          <w:rFonts w:ascii="Times New Roman" w:hAnsi="Times New Roman"/>
          <w:color w:val="000000"/>
          <w:sz w:val="13"/>
        </w:rPr>
        <w:t>225</w:t>
      </w:r>
      <w:r>
        <w:rPr>
          <w:rFonts w:ascii="Times New Roman" w:hAnsi="Times New Roman"/>
          <w:color w:val="000000"/>
          <w:sz w:val="20"/>
        </w:rPr>
        <w:t xml:space="preserve">Ac]Ac-AKY-1189, any other current or future product candidates, as well as innovations by current and future competitors in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of our strategic plans for our business, any product candidates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estimates regarding the market opportunities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intellectual property position, including the scope of protection we are able to establish, maintain, defend, protect and enforce for intellectual property rights covering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attract and retain key scientific or management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and legal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the period during which we qualify as an emerging growth company and smaller reporting Company under the Jumpstart Our Business Startups Act of 2012, as amended;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disruptions affecting the initiation, patient enrollment, development and operation of our clinical trials, including a public health emergency, such as the recent global COVID-19 pandemic;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accuracy of our estimates regarding future expenses, future revenue, capital requirements and need for additional financing;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performance and our ability to effectively manage our anticipated growth.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including those described in Part II, Item 1A, “Risk Factors” of this Quarterly Report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for any reason after the date of this report to conform these statements to new information, future events or otherwise.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we have filed with the SEC with the understanding that our actual future results, levels of activity, performance and events and circumstances may be materially different from what we expect.</w:t>
      </w:r>
    </w:p>
    <w:p>
      <w:pPr>
        <w:pStyle w:val="TextBody"/>
        <w:bidi w:val="0"/>
        <w:spacing w:before="240" w:after="283"/>
        <w:jc w:val="both"/>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7"/>
        <w:gridCol w:w="8826"/>
        <w:gridCol w:w="512"/>
      </w:tblGrid>
      <w:tr>
        <w:trPr/>
        <w:tc>
          <w:tcPr>
            <w:tcW w:w="867" w:type="dxa"/>
            <w:tcBorders/>
            <w:vAlign w:val="center"/>
          </w:tcPr>
          <w:p>
            <w:pPr>
              <w:pStyle w:val="TableContents"/>
              <w:bidi w:val="0"/>
              <w:spacing w:before="0" w:after="283"/>
              <w:jc w:val="left"/>
              <w:rPr>
                <w:sz w:val="4"/>
                <w:szCs w:val="4"/>
              </w:rPr>
            </w:pPr>
            <w:r>
              <w:rPr>
                <w:sz w:val="4"/>
                <w:szCs w:val="4"/>
              </w:rPr>
            </w:r>
          </w:p>
        </w:tc>
        <w:tc>
          <w:tcPr>
            <w:tcW w:w="88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_equity">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shares and par value data) </w:t>
      </w:r>
    </w:p>
    <w:p>
      <w:pPr>
        <w:pStyle w:val="TextBody"/>
        <w:bidi w:val="0"/>
        <w:jc w:val="center"/>
        <w:rPr>
          <w:rFonts w:ascii="Times New Roman" w:hAnsi="Times New Roman"/>
          <w:color w:val="000000"/>
          <w:sz w:val="16"/>
        </w:rPr>
      </w:pPr>
      <w:r>
        <w:rPr>
          <w:rFonts w:ascii="Times New Roman" w:hAnsi="Times New Roman"/>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24"/>
        <w:gridCol w:w="446"/>
        <w:gridCol w:w="196"/>
        <w:gridCol w:w="751"/>
        <w:gridCol w:w="446"/>
        <w:gridCol w:w="446"/>
        <w:gridCol w:w="223"/>
        <w:gridCol w:w="860"/>
        <w:gridCol w:w="613"/>
      </w:tblGrid>
      <w:tr>
        <w:trPr/>
        <w:tc>
          <w:tcPr>
            <w:tcW w:w="6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371,630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166,854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189,003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 and other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543,940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230,310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 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576,801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264,885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27,913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net of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32,633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77,625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convertible preferred stock:</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Seed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5,000,000</w:t>
            </w:r>
            <w:r>
              <w:rPr>
                <w:rFonts w:ascii="Times New Roman" w:hAnsi="Times New Roman"/>
                <w:color w:val="000000"/>
                <w:sz w:val="20"/>
              </w:rPr>
              <w:t> </w:t>
            </w:r>
            <w:r>
              <w:rPr>
                <w:rFonts w:ascii="Times New Roman" w:hAnsi="Times New Roman"/>
                <w:color w:val="000000"/>
                <w:sz w:val="16"/>
              </w:rPr>
              <w:t xml:space="preserve">shares authorized, issued and outstanding as of March 31,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78,067,500</w:t>
            </w:r>
            <w:r>
              <w:rPr>
                <w:rFonts w:ascii="Times New Roman" w:hAnsi="Times New Roman"/>
                <w:color w:val="000000"/>
                <w:sz w:val="20"/>
              </w:rPr>
              <w:t> </w:t>
            </w:r>
            <w:r>
              <w:rPr>
                <w:rFonts w:ascii="Times New Roman" w:hAnsi="Times New Roman"/>
                <w:color w:val="000000"/>
                <w:sz w:val="16"/>
              </w:rPr>
              <w:t xml:space="preserve">shares authorized, issued and outstanding as of March 31,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145,050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A-1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shares</w:t>
              <w:br/>
              <w:t>   and 2,500,000</w:t>
            </w:r>
            <w:r>
              <w:rPr>
                <w:rFonts w:ascii="Times New Roman" w:hAnsi="Times New Roman"/>
                <w:color w:val="000000"/>
                <w:sz w:val="20"/>
              </w:rPr>
              <w:t> </w:t>
            </w:r>
            <w:r>
              <w:rPr>
                <w:rFonts w:ascii="Times New Roman" w:hAnsi="Times New Roman"/>
                <w:color w:val="000000"/>
                <w:sz w:val="16"/>
              </w:rPr>
              <w:t xml:space="preserve">shares authorized, issued and outstanding as of March 31,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B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shares</w:t>
              <w:br/>
              <w:t>   and 43,750,000</w:t>
            </w:r>
            <w:r>
              <w:rPr>
                <w:rFonts w:ascii="Times New Roman" w:hAnsi="Times New Roman"/>
                <w:color w:val="000000"/>
                <w:sz w:val="20"/>
              </w:rPr>
              <w:t> </w:t>
            </w:r>
            <w:r>
              <w:rPr>
                <w:rFonts w:ascii="Times New Roman" w:hAnsi="Times New Roman"/>
                <w:color w:val="000000"/>
                <w:sz w:val="16"/>
              </w:rPr>
              <w:t xml:space="preserve">shares authorized, issued and outstanding as of March 31,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174,654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250,000</w:t>
            </w:r>
            <w:r>
              <w:rPr>
                <w:rFonts w:ascii="Times New Roman" w:hAnsi="Times New Roman"/>
                <w:color w:val="000000"/>
                <w:sz w:val="20"/>
              </w:rPr>
              <w:t> </w:t>
            </w:r>
            <w:r>
              <w:rPr>
                <w:rFonts w:ascii="Times New Roman" w:hAnsi="Times New Roman"/>
                <w:color w:val="000000"/>
                <w:sz w:val="16"/>
              </w:rPr>
              <w:t xml:space="preserve">shares authorized, issued and outstanding as of March 31,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480,000,000</w:t>
            </w:r>
            <w:r>
              <w:rPr>
                <w:rFonts w:ascii="Times New Roman" w:hAnsi="Times New Roman"/>
                <w:color w:val="000000"/>
                <w:sz w:val="20"/>
              </w:rPr>
              <w:t> </w:t>
            </w:r>
            <w:r>
              <w:rPr>
                <w:rFonts w:ascii="Times New Roman" w:hAnsi="Times New Roman"/>
                <w:color w:val="000000"/>
                <w:sz w:val="16"/>
              </w:rPr>
              <w:t>and 156,800,000</w:t>
            </w:r>
            <w:r>
              <w:rPr>
                <w:rFonts w:ascii="Times New Roman" w:hAnsi="Times New Roman"/>
                <w:color w:val="000000"/>
                <w:sz w:val="20"/>
              </w:rPr>
              <w:t> </w:t>
            </w:r>
            <w:r>
              <w:rPr>
                <w:rFonts w:ascii="Times New Roman" w:hAnsi="Times New Roman"/>
                <w:color w:val="000000"/>
                <w:sz w:val="16"/>
              </w:rPr>
              <w:t xml:space="preserve">shares authorized </w:t>
              <w:br/>
              <w:t>   as of March 31, 2026 and December 31, 2025, respectively; 53,403,173</w:t>
            </w:r>
            <w:r>
              <w:rPr>
                <w:rFonts w:ascii="Times New Roman" w:hAnsi="Times New Roman"/>
                <w:color w:val="000000"/>
                <w:sz w:val="20"/>
              </w:rPr>
              <w:t> </w:t>
            </w:r>
            <w:r>
              <w:rPr>
                <w:rFonts w:ascii="Times New Roman" w:hAnsi="Times New Roman"/>
                <w:color w:val="000000"/>
                <w:sz w:val="16"/>
              </w:rPr>
              <w:t xml:space="preserve">shares </w:t>
              <w:br/>
              <w:t>   and 915,261</w:t>
            </w:r>
            <w:r>
              <w:rPr>
                <w:rFonts w:ascii="Times New Roman" w:hAnsi="Times New Roman"/>
                <w:color w:val="000000"/>
                <w:sz w:val="20"/>
              </w:rPr>
              <w:t> </w:t>
            </w:r>
            <w:r>
              <w:rPr>
                <w:rFonts w:ascii="Times New Roman" w:hAnsi="Times New Roman"/>
                <w:color w:val="000000"/>
                <w:sz w:val="16"/>
              </w:rPr>
              <w:t xml:space="preserve">shares issued and outstanding as of March 31,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and no</w:t>
            </w:r>
            <w:r>
              <w:rPr>
                <w:rFonts w:ascii="Times New Roman" w:hAnsi="Times New Roman"/>
                <w:color w:val="000000"/>
                <w:sz w:val="20"/>
              </w:rPr>
              <w:t> </w:t>
            </w:r>
            <w:r>
              <w:rPr>
                <w:rFonts w:ascii="Times New Roman" w:hAnsi="Times New Roman"/>
                <w:color w:val="000000"/>
                <w:sz w:val="16"/>
              </w:rPr>
              <w:t xml:space="preserve">shares authorized </w:t>
              <w:br/>
              <w:t>   as of March 31, 2026 and December 31, 2025, respectively; 1,872,829</w:t>
            </w:r>
            <w:r>
              <w:rPr>
                <w:rFonts w:ascii="Times New Roman" w:hAnsi="Times New Roman"/>
                <w:color w:val="000000"/>
                <w:sz w:val="20"/>
              </w:rPr>
              <w:t> </w:t>
            </w:r>
            <w:r>
              <w:rPr>
                <w:rFonts w:ascii="Times New Roman" w:hAnsi="Times New Roman"/>
                <w:color w:val="000000"/>
                <w:sz w:val="16"/>
              </w:rPr>
              <w:t xml:space="preserve">shares </w:t>
              <w:br/>
              <w:t>   and no</w:t>
            </w:r>
            <w:r>
              <w:rPr>
                <w:rFonts w:ascii="Times New Roman" w:hAnsi="Times New Roman"/>
                <w:color w:val="000000"/>
                <w:sz w:val="20"/>
              </w:rPr>
              <w:t> </w:t>
            </w:r>
            <w:r>
              <w:rPr>
                <w:rFonts w:ascii="Times New Roman" w:hAnsi="Times New Roman"/>
                <w:color w:val="000000"/>
                <w:sz w:val="16"/>
              </w:rPr>
              <w:t xml:space="preserve">shares issued and outstanding as of March 31,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681,233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(loss)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(174,889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506,108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576,801</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264,885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026" w:type="dxa"/>
        <w:jc w:val="left"/>
        <w:tblInd w:w="0" w:type="dxa"/>
        <w:tblLayout w:type="fixed"/>
        <w:tblCellMar>
          <w:top w:w="28" w:type="dxa"/>
          <w:left w:w="28" w:type="dxa"/>
          <w:bottom w:w="28" w:type="dxa"/>
          <w:right w:w="28" w:type="dxa"/>
        </w:tblCellMar>
      </w:tblPr>
      <w:tblGrid>
        <w:gridCol w:w="5341"/>
        <w:gridCol w:w="346"/>
        <w:gridCol w:w="225"/>
        <w:gridCol w:w="1109"/>
        <w:gridCol w:w="177"/>
        <w:gridCol w:w="156"/>
        <w:gridCol w:w="225"/>
        <w:gridCol w:w="836"/>
        <w:gridCol w:w="611"/>
      </w:tblGrid>
      <w:tr>
        <w:trPr/>
        <w:tc>
          <w:tcPr>
            <w:tcW w:w="5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Collaboration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(22,706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share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stock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48,630,038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805,821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unrealized loss on marketable securities held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(18,608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7" w:name="stockholders_deficit_equity"/>
      <w:bookmarkEnd w:id="7"/>
      <w:r>
        <w:rPr>
          <w:rFonts w:ascii="Times New Roman" w:hAnsi="Times New Roman"/>
          <w:b/>
          <w:color w:val="000000"/>
          <w:sz w:val="20"/>
        </w:rPr>
        <w:t>CONDENSED CONSOLIDATED STATEMENTS OF REDEEMABLE CONVERTIBLE PREFERRED STOCK AND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pPr>
      <w:r>
        <w:rPr/>
        <w:t> </w:t>
      </w:r>
    </w:p>
    <w:tbl>
      <w:tblPr>
        <w:tblW w:w="20031" w:type="dxa"/>
        <w:jc w:val="left"/>
        <w:tblInd w:w="0" w:type="dxa"/>
        <w:tblLayout w:type="fixed"/>
        <w:tblCellMar>
          <w:top w:w="28" w:type="dxa"/>
          <w:left w:w="28" w:type="dxa"/>
          <w:bottom w:w="28" w:type="dxa"/>
          <w:right w:w="28" w:type="dxa"/>
        </w:tblCellMar>
      </w:tblPr>
      <w:tblGrid>
        <w:gridCol w:w="796"/>
        <w:gridCol w:w="146"/>
        <w:gridCol w:w="631"/>
        <w:gridCol w:w="306"/>
        <w:gridCol w:w="166"/>
        <w:gridCol w:w="421"/>
        <w:gridCol w:w="306"/>
        <w:gridCol w:w="146"/>
        <w:gridCol w:w="691"/>
        <w:gridCol w:w="306"/>
        <w:gridCol w:w="166"/>
        <w:gridCol w:w="541"/>
        <w:gridCol w:w="306"/>
        <w:gridCol w:w="146"/>
        <w:gridCol w:w="631"/>
        <w:gridCol w:w="306"/>
        <w:gridCol w:w="166"/>
        <w:gridCol w:w="421"/>
        <w:gridCol w:w="306"/>
        <w:gridCol w:w="146"/>
        <w:gridCol w:w="691"/>
        <w:gridCol w:w="306"/>
        <w:gridCol w:w="166"/>
        <w:gridCol w:w="541"/>
        <w:gridCol w:w="306"/>
        <w:gridCol w:w="146"/>
        <w:gridCol w:w="541"/>
        <w:gridCol w:w="306"/>
        <w:gridCol w:w="180"/>
        <w:gridCol w:w="346"/>
        <w:gridCol w:w="466"/>
        <w:gridCol w:w="466"/>
        <w:gridCol w:w="466"/>
        <w:gridCol w:w="146"/>
        <w:gridCol w:w="646"/>
        <w:gridCol w:w="306"/>
        <w:gridCol w:w="170"/>
        <w:gridCol w:w="356"/>
        <w:gridCol w:w="306"/>
        <w:gridCol w:w="146"/>
        <w:gridCol w:w="586"/>
        <w:gridCol w:w="306"/>
        <w:gridCol w:w="170"/>
        <w:gridCol w:w="356"/>
        <w:gridCol w:w="306"/>
        <w:gridCol w:w="166"/>
        <w:gridCol w:w="496"/>
        <w:gridCol w:w="306"/>
        <w:gridCol w:w="296"/>
        <w:gridCol w:w="620"/>
        <w:gridCol w:w="306"/>
        <w:gridCol w:w="186"/>
        <w:gridCol w:w="610"/>
        <w:gridCol w:w="306"/>
        <w:gridCol w:w="179"/>
        <w:gridCol w:w="587"/>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Seed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Partner Redeemable Convertible Preferred Stock</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780,996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(92,833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26,285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807,281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(107,818</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(101,561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915,261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(156,564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upon closing of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32,184,389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1,872,829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333,406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from initial public offering, net of issuance costs of $5,376</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20,297,500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334,402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6,023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53,403,173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1,872,829</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681,233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(174,889</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506,108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08"/>
        <w:gridCol w:w="846"/>
        <w:gridCol w:w="237"/>
        <w:gridCol w:w="881"/>
        <w:gridCol w:w="187"/>
        <w:gridCol w:w="164"/>
        <w:gridCol w:w="237"/>
        <w:gridCol w:w="830"/>
        <w:gridCol w:w="615"/>
      </w:tblGrid>
      <w:tr>
        <w:trPr/>
        <w:tc>
          <w:tcPr>
            <w:tcW w:w="620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used in operating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Net loss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(14,985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flows used in operating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Depreciation and amortization</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Stock-based compensation</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amortization of premiums and accretion of discounts on investments in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Prepaid expenses and other current assets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Interest receivable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Operating lease right-of-use assets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Other assets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Accounts payable</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Operating lease liabilities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Deferred revenue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9"/>
              </w:rPr>
            </w:pPr>
            <w:r>
              <w:rPr>
                <w:rFonts w:ascii="Times New Roman" w:hAnsi="Times New Roman"/>
                <w:color w:val="000000"/>
                <w:sz w:val="19"/>
              </w:rPr>
              <w:t>Net cash used in operating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(24,242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(17,482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provided by investing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22,395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Purchases of property and equipment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provided by investing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20,541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39,041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Cash flows provided by (used in)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initial public offering, net of underwriter discounts and commissions paid during the period</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339,780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337,547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increase in cash, cash equivalents and restricted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333,846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21,091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at beginning of period</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38,933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38,308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at end of period</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372,779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59,399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 equivalents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371,630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restricted cash equivalents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372,779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59,399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Supplemental disclosure of non-cash investing and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Remeasurement of right-of-use asset and lease liability due to lease modification</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redeemable convertible preferred stock into common stock upon closing of initial public offering</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333,409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offering costs transferred to additional paid in capital</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accounts payable</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accrued expenses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unrealized loss on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offering costs included in accrued expenses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per share and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Aktis Oncology, Inc. (“Aktis” or the “Company”) was incorporated under the laws of the State of Delaware in August 2020. Its principal office is in Boston, Massachusetts. Aktis Security Corporation, its wholly owned subsidiary, was formed under the laws of the State of Delaware in November 2022. The Company is a clinical-stage oncology company focused on unlocking the breakthrough potential of targeted radiopharmaceuticals for large patient populations not currently addressed by existing technologies. The Company has built a proprietary miniprotein radioconjugate platform that aims to safely confer breakthrough efficacy to a broader range of patient populations.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risks and uncertainties common to early-stage companies in the biotechnology industry, including, but not limited to, the outcome of clinical trials, development by competitors of new technological innovations, dependence on key personnel, protection of proprietary technologies, compliance with government regulations, ability to secure additional capital to fund operations, and potential delays associated with the Company’s anticipated and planned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the Company will be able to successfully complete the development of, or receive regulatory approval for, any products developed, and if approved, that any products will be commercially viable. Any products resulting from the Company’s current research and development efforts will require significant additional research and development, including extensive preclinical and clinical testing and regulatory approval prior to commercialization. These efforts will require significant amounts of additional capital, adequate personnel, infrastructure, and extensive compliance reporting capabilities. The Company has not generated any revenue from the sale of any products to date. Even if the Company’s product development efforts are successful, it is uncertain when, if ever, the Company will realize significant revenue from product sales.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 2026, the Company effected a 1-for-3.8044 reverse stock split of its issued and outstanding common stock, which also resulted in a proportional adjustment to the conversion price for each series of its redeemable convertible preferred stock, and to the exercise prices and number of outstanding stock options. The par value and authorized number of shares of common stock and redeemable convertible preferred stock were not adjusted as a result. All share and per share amounts for all periods presented in the condensed consolidated financial statements and notes thereto have been retroactively adjusted to reflect the effect of the reverse stock split.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the Company completed its initial public offering ("IPO"), in which the Company sold an aggregate of 20,297,500 shares of its common stock at a public offering price of $18.00 per share, including 2,647,500 shares pursuant to the full exercise of the underwriters' option to purchase additional shares, resulting in aggregate net proceeds of approximately $334.4 million, after deducting underwriter discounts, commissions and other offering expenses incurred through March 31, 2026. Immediately prior to the closing of the IPO, the Company's outstanding redeemable convertible preferred stock automatically converted into 32,184,389 shares of common stock and 1,872,829 shares of Class A non-voting common stock. Following the closing of the IPO, no shares of redeemable convertible preferred stock were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IPO, the Company's certificate of incorporation was amended and restated to authorize 480,000,000 shares of common stock, par value $0.0001 per share, 10,000,000 shares of Class A common stock, par value $0.0001 per share and 10,000,000 shares of undesignated preferred stock, par value $0.0001 per share.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Accounting Standards Update (“ASU”) 2014-15, </w:t>
      </w:r>
      <w:r>
        <w:rPr>
          <w:rFonts w:ascii="Times New Roman" w:hAnsi="Times New Roman"/>
          <w:i/>
          <w:color w:val="000000"/>
          <w:sz w:val="20"/>
        </w:rPr>
        <w:t>Disclosure of Uncertainties About an Entity’s Ability to Continue as a Going Concern (Subtopic 205-40),</w:t>
      </w:r>
      <w:r>
        <w:rPr>
          <w:rFonts w:ascii="Times New Roman" w:hAnsi="Times New Roman"/>
          <w:color w:val="000000"/>
          <w:sz w:val="20"/>
        </w:rPr>
        <w:t xml:space="preserve"> the Company has evaluated whether there are conditions and events that raise substantial doubt about the Company’s ability to continue as a going concern within one year after the date the condensed consolidated financial statements are issued. The accompanying condensed consolidated financial statements have been prepared on a going-concern basis, which contemplates the realization of assets and satisfaction of liabilities in the normal course of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incurred losses since inception, including net losses of $18.3 million and $15.0 million for the three months ended March 31, 2026 and 2025, respectively. As of March 31, 2026, the Company had an accumulated deficit of $174.9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whether there are certain conditions and events, considered in the aggregate, that raise substantial doubt about the Company's ability to continue as a going concern within the twelve months after the date that these condensed consolidated financial statements are issued. The Company believes that its existing cash, cash equivalents and marketable securities of $538.5 million as of March 31, 2026 will be sufficient to allow the Company to fund operations at least twelve months from the date that the financial statements are issued.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of America (“GAAP”). The accompanying condensed consolidated financial statements include the accounts of the Company’s wholly-owned subsidiary, Aktis Security Corporation. All intercompany balances and transactions have been eliminated in consolidation. Any reference in these notes to applicable guidance is meant to refer to the authoritative GAAP as found in the Accounting Standards Codification (“ASC”) and ASUs of the Financial Accounting Standards Board (“FASB”).</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Company’s significant accounting policies are disclosed in Note 2, “</w:t>
      </w:r>
      <w:r>
        <w:rPr>
          <w:rFonts w:ascii="Times New Roman" w:hAnsi="Times New Roman"/>
          <w:i/>
          <w:color w:val="000000"/>
          <w:sz w:val="20"/>
        </w:rPr>
        <w:t>Summary of significant accounting policies</w:t>
      </w:r>
      <w:r>
        <w:rPr>
          <w:rFonts w:ascii="Times New Roman" w:hAnsi="Times New Roman"/>
          <w:color w:val="000000"/>
          <w:sz w:val="20"/>
        </w:rPr>
        <w:t>,” in the audited consolidated annual financial statements in the Annual Report on Form 10-K for the year ended December 31, 2025 which was filed with the Securities and Exchange Commission ("SEC") on March 30, 2026. Since the date of those annual financial statements, there have been no changes to the Company’s significant accounting policies, except as noted below.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balance sheet as of March 31, 2026, and the condensed consolidated statements of operations and comprehensive loss, condensed consolidated statements of redeemable convertible preferred stock and stockholders’ equity (deficit) and condensed consolidated statements of cash flows for the three months ended March 31, 2026 and 2025 are unaudited. The condensed consolidated interim financial statements have been prepared on the same basis as the December 31, 2025 and 2024 audited annual financial statements and, in the opinion of management, reflect all adjustments, which include only normal recurring adjustments necessary for the fair presentation of the Company’s financial position as of March 31, 2026. The results for the three months ended March 31, 2026 are not necessarily indicative of results to be expected for the year ending December 31, 2026, or for any other subsequent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("ASU 2024-03"). ASU 2024-3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prospective or retrospective application and early adoption permitted. The Company is currently evaluating the disclosure requirements related to this new standard.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financial assets and liabilities carried at fair value on a recurring basis (in thousands):</w:t>
      </w:r>
    </w:p>
    <w:p>
      <w:pPr>
        <w:pStyle w:val="TextBody"/>
        <w:bidi w:val="0"/>
        <w:jc w:val="both"/>
        <w:rPr/>
      </w:pPr>
      <w:r>
        <w:rPr/>
        <w:t> </w:t>
      </w:r>
    </w:p>
    <w:tbl>
      <w:tblPr>
        <w:tblW w:w="7730"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676"/>
        <w:gridCol w:w="146"/>
        <w:gridCol w:w="146"/>
        <w:gridCol w:w="277"/>
        <w:gridCol w:w="458"/>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539,133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7835"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77"/>
        <w:gridCol w:w="458"/>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there were no transfers or reclassifications between fair value measurement levels of financial assets. The carrying values of prepaid expenses and other current assets, accounts payable and accrued expenses and other current liabilities approximate their fair values due to the short-term nature of these assets and liabilities. The Company had no other financial liabilities for the periods presented above.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Valuation of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its treasury bills as Level 1 assets under the fair value hierarchy, as these securities have been valued using quoted market prices for identical assets in active markets without any valuation adjustment. The Company classifies its commercial paper, corporate debt securities, and agency bonds as Level 2 assets under the fair value hierarchy, as these assets have been valued using quoted prices in active markets for similar securities.</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and December 31, 2025, the Company’s security portfolio consisted of 51 securities and 56 securities, respectively, related to marketable securities in debt securities available-for-sale, of which there were 49 securities and 10 securities in unrealized loss positions as of March 31, 2026 and December 31, 2025, respectively. There were no securities in an unrealized loss position for greater than 12 months as of March 31, 2026 or December 31, 2025. The Company does not intend to sell the marketable securities prior to the value of the securities being recovered and it is not more likely than not that the Company will be required to sell the marketable securities before recovery of their amortized cost basis. The Company did not record an allowance for credit losses as of March 31, 2026 or December 31, 2025. Accrued interest receivable relating to the Company’s available-for-sale securities is presented within prepaid expenses and other current assets in the accompanying condensed consolidated balance sheets, and amounted to $2.2 million and $1.1 million as of March 31,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Marketable securities, which are classified as available-for-sale, consisted of the following (in thousands):</w:t>
      </w:r>
    </w:p>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2511"/>
        <w:gridCol w:w="146"/>
        <w:gridCol w:w="213"/>
        <w:gridCol w:w="793"/>
        <w:gridCol w:w="146"/>
        <w:gridCol w:w="146"/>
        <w:gridCol w:w="392"/>
        <w:gridCol w:w="644"/>
        <w:gridCol w:w="146"/>
        <w:gridCol w:w="146"/>
        <w:gridCol w:w="315"/>
        <w:gridCol w:w="721"/>
        <w:gridCol w:w="166"/>
        <w:gridCol w:w="146"/>
        <w:gridCol w:w="211"/>
        <w:gridCol w:w="78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2511"/>
        <w:gridCol w:w="146"/>
        <w:gridCol w:w="213"/>
        <w:gridCol w:w="793"/>
        <w:gridCol w:w="146"/>
        <w:gridCol w:w="146"/>
        <w:gridCol w:w="414"/>
        <w:gridCol w:w="622"/>
        <w:gridCol w:w="146"/>
        <w:gridCol w:w="146"/>
        <w:gridCol w:w="372"/>
        <w:gridCol w:w="664"/>
        <w:gridCol w:w="166"/>
        <w:gridCol w:w="146"/>
        <w:gridCol w:w="211"/>
        <w:gridCol w:w="78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p>
      <w:pPr>
        <w:pStyle w:val="TextBody"/>
        <w:bidi w:val="0"/>
        <w:jc w:val="both"/>
        <w:rPr/>
      </w:pPr>
      <w:r>
        <w:rPr/>
        <w:t> </w:t>
      </w:r>
    </w:p>
    <w:tbl>
      <w:tblPr>
        <w:tblW w:w="7114" w:type="dxa"/>
        <w:jc w:val="left"/>
        <w:tblInd w:w="0" w:type="dxa"/>
        <w:tblLayout w:type="fixed"/>
        <w:tblCellMar>
          <w:top w:w="28" w:type="dxa"/>
          <w:left w:w="28" w:type="dxa"/>
          <w:bottom w:w="28" w:type="dxa"/>
          <w:right w:w="28" w:type="dxa"/>
        </w:tblCellMar>
      </w:tblPr>
      <w:tblGrid>
        <w:gridCol w:w="4156"/>
        <w:gridCol w:w="232"/>
        <w:gridCol w:w="743"/>
        <w:gridCol w:w="166"/>
        <w:gridCol w:w="146"/>
        <w:gridCol w:w="299"/>
        <w:gridCol w:w="961"/>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&amp; furniture</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under construction</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depreciation expense of $0.7 million and $0.5 million for the three months ended March 31, 2026 and 2025, respectively.</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Accrued expenses and other current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461"/>
        <w:gridCol w:w="263"/>
        <w:gridCol w:w="712"/>
        <w:gridCol w:w="146"/>
        <w:gridCol w:w="146"/>
        <w:gridCol w:w="339"/>
        <w:gridCol w:w="92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 costs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costs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Stockholders’ deficit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 and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submitted to a vote of the Company’s stockholders provided, however, that, except as otherwise required by law, holders of common stock are not entitled to vote on any amendment to the Company’s Certificate of Incorporation that relates solely to the terms of one or more outstanding series of Class A common stock or preferred stock if the holders of such affected series are entitled, either separately or together with the holders of one or more other such series, to vote thereon pursuant to the Certificate of Incorporation or pursuant to the Delaware General Corporation Law. Each share of Class A common stock is non-voting. There is no cumulative voting. Both common stockholders and Class A common stockholders are entitled to receive dividends, as may be declared by the Company’s Board, if any. Through March 31, 2026, no dividends have been declared or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common stock available for future issuance is summarized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48"/>
        <w:gridCol w:w="146"/>
        <w:gridCol w:w="1141"/>
        <w:gridCol w:w="146"/>
        <w:gridCol w:w="146"/>
        <w:gridCol w:w="146"/>
        <w:gridCol w:w="1141"/>
        <w:gridCol w:w="391"/>
      </w:tblGrid>
      <w:tr>
        <w:trPr/>
        <w:tc>
          <w:tcPr>
            <w:tcW w:w="6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authorized and reserved for future issuances:</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Seed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20,520,285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11,499,825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5,899,875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2026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2026 Employee Stock Purchase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authorized and reserved for future issuance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10,210,847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40,242,816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Unreserved common stock available for future issuance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416,385,980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115,641,923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8. Equity-based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2020 Stock Option and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2020 Stock Option and Grant Plan, as amended (the “2020 Plan”), provided for the Company to sell or issue common stock or restricted common stock, and other awards as determined by the Board could be granted to employees, non-employees and directors of the Company. As of the effective date of the 2026 Stock Option and Incentive Plan (the “2026 Plan”), and as of March 31, 2026, there were no shares remaining available for future issuance under the 2020 Plan. Any options or other awards outstanding under the 2020 Plan remain outstanding and effective.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Stock Option and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the Board and the Company's stockholders adopted and approved the 2026 Plan, which became effective on January 8, 2026. The 2026 Plan initially reserved 4,009,452 shares of common stock for future issuances and is subject to automatic increases in the number of shares of common stock reserved for future issuances in accordance with the evergreen provisions in the 2026 Plan. The shares reserved for future issuance under the 2020 Plan ceased to be available for issuance at the time the 2026 Plan became effective. Any shares underlying outstanding stock awards granted under the 2020 Plan that subsequently expire or are repurchased, forfeited, cancelled, or withheld will return to the 2026 Plan and be reserved and available for issuance. As of March 31, 2026, there were 2,531,120 shares remaining available for future issuance under the 2026 Plan.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the Board and the Company's stockholders adopted and approved the 2026 Employee Stock Purchase Plan (the "2026 ESPP"), which became effective on January 8, 2026. The 2026 ESPP initially reserved 27,843 shares of common stock for future issuance and is subject to automatic increases in the number of shares of common stock reserved for future issuances in accordance with the evergreen provisions in the 2026 ESPP. As of March 31, 2026, there were 27,843 shares remaining available for future issuance under the 2026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stock option activity during the three months ended March 31, 2026:</w:t>
      </w:r>
    </w:p>
    <w:p>
      <w:pPr>
        <w:pStyle w:val="TextBody"/>
        <w:bidi w:val="0"/>
        <w:jc w:val="both"/>
        <w:rPr/>
      </w:pPr>
      <w:r>
        <w:rPr/>
        <w:t> </w:t>
      </w:r>
    </w:p>
    <w:tbl>
      <w:tblPr>
        <w:tblW w:w="9955" w:type="dxa"/>
        <w:jc w:val="left"/>
        <w:tblInd w:w="0" w:type="dxa"/>
        <w:tblLayout w:type="fixed"/>
        <w:tblCellMar>
          <w:top w:w="28" w:type="dxa"/>
          <w:left w:w="28" w:type="dxa"/>
          <w:bottom w:w="28" w:type="dxa"/>
          <w:right w:w="28" w:type="dxa"/>
        </w:tblCellMar>
      </w:tblPr>
      <w:tblGrid>
        <w:gridCol w:w="3776"/>
        <w:gridCol w:w="146"/>
        <w:gridCol w:w="172"/>
        <w:gridCol w:w="1103"/>
        <w:gridCol w:w="166"/>
        <w:gridCol w:w="146"/>
        <w:gridCol w:w="247"/>
        <w:gridCol w:w="669"/>
        <w:gridCol w:w="146"/>
        <w:gridCol w:w="146"/>
        <w:gridCol w:w="307"/>
        <w:gridCol w:w="983"/>
        <w:gridCol w:w="146"/>
        <w:gridCol w:w="146"/>
        <w:gridCol w:w="323"/>
        <w:gridCol w:w="1042"/>
        <w:gridCol w:w="29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vested and exercisable as of</w:t>
              <w:br/>
              <w: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unvested and expected to vest as of</w:t>
              <w:br/>
              <w: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cost is recognized on a straight-line basis over the requisite service period. As of March 31, 2026, the total unrecognized compensation related to unvested stock option awards was $36.7 million which the Company expects to recognize over a weighted-average period of approximately 2.91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grant date fair value per share of stock options granted during the three months ended March 31, 2026 and 2025 was $13.80 and $2.06, respectively. The total intrinsic value of stock options exercised during the three months ended March 31, 2026 and 2025 was $0.1 million and $0.2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on a weighted-average basis, the assumptions used in the Black Scholes option-pricing model to determine the grant-date fair value of the stock options granted during the years ended: </w:t>
      </w:r>
    </w:p>
    <w:p>
      <w:pPr>
        <w:pStyle w:val="TextBody"/>
        <w:bidi w:val="0"/>
        <w:jc w:val="both"/>
        <w:rPr/>
      </w:pPr>
      <w:r>
        <w:rPr/>
        <w:t> </w:t>
      </w:r>
    </w:p>
    <w:tbl>
      <w:tblPr>
        <w:tblW w:w="4915" w:type="dxa"/>
        <w:jc w:val="left"/>
        <w:tblInd w:w="0" w:type="dxa"/>
        <w:tblLayout w:type="fixed"/>
        <w:tblCellMar>
          <w:top w:w="28" w:type="dxa"/>
          <w:left w:w="28" w:type="dxa"/>
          <w:bottom w:w="28" w:type="dxa"/>
          <w:right w:w="28" w:type="dxa"/>
        </w:tblCellMar>
      </w:tblPr>
      <w:tblGrid>
        <w:gridCol w:w="2086"/>
        <w:gridCol w:w="146"/>
        <w:gridCol w:w="198"/>
        <w:gridCol w:w="777"/>
        <w:gridCol w:w="271"/>
        <w:gridCol w:w="146"/>
        <w:gridCol w:w="198"/>
        <w:gridCol w:w="777"/>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stock-based compensation expense included in operating expenses (in thousands): </w:t>
      </w:r>
    </w:p>
    <w:p>
      <w:pPr>
        <w:pStyle w:val="TextBody"/>
        <w:bidi w:val="0"/>
        <w:jc w:val="both"/>
        <w:rPr/>
      </w:pPr>
      <w:r>
        <w:rPr/>
        <w:t> </w:t>
      </w:r>
    </w:p>
    <w:tbl>
      <w:tblPr>
        <w:tblW w:w="5436" w:type="dxa"/>
        <w:jc w:val="left"/>
        <w:tblInd w:w="0" w:type="dxa"/>
        <w:tblLayout w:type="fixed"/>
        <w:tblCellMar>
          <w:top w:w="28" w:type="dxa"/>
          <w:left w:w="28" w:type="dxa"/>
          <w:bottom w:w="28" w:type="dxa"/>
          <w:right w:w="28" w:type="dxa"/>
        </w:tblCellMar>
      </w:tblPr>
      <w:tblGrid>
        <w:gridCol w:w="2311"/>
        <w:gridCol w:w="146"/>
        <w:gridCol w:w="317"/>
        <w:gridCol w:w="858"/>
        <w:gridCol w:w="219"/>
        <w:gridCol w:w="219"/>
        <w:gridCol w:w="317"/>
        <w:gridCol w:w="85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did not record a provision or benefit for income taxes during the three months ended March 31, 2026 and 2025. The Company continues to maintain a full valuation allowance against its U.S. federal and state deferred tax assets as it is more likely than not that such assets will not be realized in the future.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and December 31, 2025, the Company had no uncertain tax positions relevant to the jurisdictions where it is required to file income tax returns requiring recognition in the consolidated financial statements. As of March 31, 2026 and December 31, 2025, the Company had no accrued interest or penalties related to uncertain tax positions.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License agreements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entered into several license agreements with third parties that typically involve payments from the Company, including upfront payments, milestone payments and royalty payments. The terms and conditions as well as accounting analysis for the Company’s significant license agreements are described in Note 11, “</w:t>
      </w:r>
      <w:r>
        <w:rPr>
          <w:rFonts w:ascii="Times New Roman" w:hAnsi="Times New Roman"/>
          <w:i/>
          <w:color w:val="000000"/>
          <w:sz w:val="20"/>
        </w:rPr>
        <w:t>License Agreements</w:t>
      </w:r>
      <w:r>
        <w:rPr>
          <w:rFonts w:ascii="Times New Roman" w:hAnsi="Times New Roman"/>
          <w:color w:val="000000"/>
          <w:sz w:val="20"/>
        </w:rPr>
        <w:t>” in the audited consolidated annual financial statements for the years ended December 31, 2025 and 2024. As of March 31, 2026, no milestones have been achieved under these agreements. There have been no other material changes to the terms and conditions or accounting conclusions previously disclosed in the Annual Report on Form 10-K for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Collaboration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Eli Lilly collaboration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May 2024, the Company entered into the Collaboration Agreement with Eli Lilly and Company ("Eli Lilly") to generate anticancer radiopharmaceuticals using the Company's novel miniprotein technology platform. The terms and conditions as well as accounting analysis for the Company’s Collaboration Agreement are described in Note 12, “</w:t>
      </w:r>
      <w:r>
        <w:rPr>
          <w:rFonts w:ascii="Times New Roman" w:hAnsi="Times New Roman"/>
          <w:i/>
          <w:color w:val="000000"/>
          <w:sz w:val="20"/>
        </w:rPr>
        <w:t>Collaboration revenue</w:t>
      </w:r>
      <w:r>
        <w:rPr>
          <w:rFonts w:ascii="Times New Roman" w:hAnsi="Times New Roman"/>
          <w:color w:val="000000"/>
          <w:sz w:val="20"/>
        </w:rPr>
        <w:t xml:space="preserve">” in the audited consolidated annual financial statements for the year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$3.2 million and $1.4 million of collaboration revenue during the three months ended March 31, 2026 and 2025, respectively. The remaining transaction price of $51.6 million is expected to be recognized as revenue through 2030. As of March 31, 2026, one development milestone under the Collaboration Agreement totaling $1.0 million had been achieved. There have been no other material changes to the terms and conditions or accounting conclusions previously disclosed in the Annual Report on Form 10-K for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not subject to any material legal proceedings during the three months ended March 31, 2026 and 2025, and the Company is not aware of any material legal proceedings that are currently pending or threatened.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Royalty transfer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27, 2020, concurrent with entering into the Series Seed Agreement, the Company entered into a royalty transfer agreement (the "Royalty Transfer Agreement") with MPM Oncology Charitable Foundation, Inc. (the “MPM Charitable Foundation”), an affiliate of a stockholder holding more than 5% of the total outstanding stock of the Company, and the UBS Optimus Foundation (“UBS" and together with MPM Charitable Foundation, the “Charitable Foundations”). Pursuant to the Royalty Transfer Agreement, the Company will pay 0.5% of annual global net sales to each of the Charitable Foundations, for a total of 1.0% of net sales, subject to customary reductions, for products that incorporate or utilize intellectual property that was discovered or developed by the Company prior to an initial public offering. The Company's payment obligations for each product will continue on a country-by-country basis upon the later of the twelfth anniversary of the first commercial sale of such product in such country or the expiration of the last to expire of certain patents owned or controlled by the Company covering such products in such country.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payment obligations to MPM Charitable Foundation will terminate immediately upon authorization of the MPM Charitable Foundation's board of directors (or similar body) or upon the winding up or dissolution of MPM Charitable Foundation. The Company’s payment obligations to UBS will terminate immediately upon the winding up of Oncology Impact Fund 2, L.P., a Cayman Islands exempt limited partnership which is affiliated with MPM Charitable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record a liability when the associated net sales are generated.</w:t>
      </w:r>
    </w:p>
    <w:p>
      <w:pPr>
        <w:pStyle w:val="TextBody"/>
        <w:bidi w:val="0"/>
        <w:spacing w:before="12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2021, the Company entered into a lease agreement for a research and development laboratory and related office space located in Durham, North Carolina (the "Durham Lease"). The lease was extended with a revised termination date of September 30, 2027. The lease extension was accounted for as modifications in accordance with ASC 842 and the Company reassessed the lease liability and right-of-use (“ROU”) asset related to the lease. The extension resulted in an increase of $0.4 million to the related operating lease ROU asset and lease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the Company entered into a lease for office, laboratory and storage space located in Boston, Massachusetts. The lease is set to expire 10 years from the rent commencement date of January 4,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for the periods presented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3"/>
        <w:gridCol w:w="146"/>
        <w:gridCol w:w="224"/>
        <w:gridCol w:w="1107"/>
        <w:gridCol w:w="176"/>
        <w:gridCol w:w="155"/>
        <w:gridCol w:w="224"/>
        <w:gridCol w:w="834"/>
        <w:gridCol w:w="216"/>
      </w:tblGrid>
      <w:tr>
        <w:trPr/>
        <w:tc>
          <w:tcPr>
            <w:tcW w:w="7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stock used in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48,630,038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805,821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potentially dilutive securities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liquidation and dividend rights are identical for the Company's common stock and Class A common stock, the undistributed earnings are allocated on a proportionate basis and the resulting amount per share for the Company's common stock and Class A common stock was the same for the three months ended March 31, 2026. The Company only had one class of common stock outstanding as of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computation of diluted net loss per share attributable to common stockholders, as including them would have had an anti-dilutive effect: </w:t>
      </w:r>
    </w:p>
    <w:p>
      <w:pPr>
        <w:pStyle w:val="TextBody"/>
        <w:bidi w:val="0"/>
        <w:jc w:val="both"/>
        <w:rPr/>
      </w:pPr>
      <w:r>
        <w:rPr/>
        <w:t> </w:t>
      </w:r>
    </w:p>
    <w:tbl>
      <w:tblPr>
        <w:tblW w:w="6037" w:type="dxa"/>
        <w:jc w:val="left"/>
        <w:tblInd w:w="0" w:type="dxa"/>
        <w:tblLayout w:type="fixed"/>
        <w:tblCellMar>
          <w:top w:w="28" w:type="dxa"/>
          <w:left w:w="28" w:type="dxa"/>
          <w:bottom w:w="28" w:type="dxa"/>
          <w:right w:w="28" w:type="dxa"/>
        </w:tblCellMar>
      </w:tblPr>
      <w:tblGrid>
        <w:gridCol w:w="2971"/>
        <w:gridCol w:w="146"/>
        <w:gridCol w:w="156"/>
        <w:gridCol w:w="996"/>
        <w:gridCol w:w="156"/>
        <w:gridCol w:w="156"/>
        <w:gridCol w:w="156"/>
        <w:gridCol w:w="1109"/>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34,057,218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7,651,884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20,396,207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7,651,884</w:t>
            </w:r>
          </w:p>
        </w:tc>
        <w:tc>
          <w:tcPr>
            <w:tcW w:w="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54,453,425</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one operating and reportable segment focused on the research and development of targeted radiopharmaceuticals to treat a broad range of solid tumor cancers. The accounting policies of the single operating segment are identical to those described in Note 2, “Summary of significant accounting policies,” in the audited consolidated annual financial statements for the year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chief operating decision-maker (“CODM”) manages the Company’s operations on a consolidated basis and assesses performance based on consolidated net loss, which is reported on the condensed consolidated statements of operations. The measure of segment assets is reported on the condensed consolidated balance sheets as total consolidated assets. Expenditures for additions to long-lived assets, which include purchases of property and equipment, are included in total consolidated assets reviewed by the CODM and are reported on the condensed consolidated statements of cash flows. The CODM uses consolidated net loss and budget-to-actual variances to allocate resources and assess the performance of the entire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segment information for prior period has been recast to conform to the current period presentation. The recast did not impact the Company's previously reported consolidated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represents significant segment expenses regularly provided to the CODM with the following categories (in thousands):</w:t>
      </w:r>
    </w:p>
    <w:p>
      <w:pPr>
        <w:pStyle w:val="TextBody"/>
        <w:bidi w:val="0"/>
        <w:jc w:val="both"/>
        <w:rPr/>
      </w:pPr>
      <w:r>
        <w:rPr/>
        <w:t> </w:t>
      </w:r>
    </w:p>
    <w:tbl>
      <w:tblPr>
        <w:tblW w:w="7851" w:type="dxa"/>
        <w:jc w:val="left"/>
        <w:tblInd w:w="0" w:type="dxa"/>
        <w:tblLayout w:type="fixed"/>
        <w:tblCellMar>
          <w:top w:w="28" w:type="dxa"/>
          <w:left w:w="28" w:type="dxa"/>
          <w:bottom w:w="28" w:type="dxa"/>
          <w:right w:w="28" w:type="dxa"/>
        </w:tblCellMar>
      </w:tblPr>
      <w:tblGrid>
        <w:gridCol w:w="4811"/>
        <w:gridCol w:w="261"/>
        <w:gridCol w:w="911"/>
        <w:gridCol w:w="205"/>
        <w:gridCol w:w="180"/>
        <w:gridCol w:w="261"/>
        <w:gridCol w:w="911"/>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and development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Ac]Ac-AKY-1189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Ac]Ac-AKY-2519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Information technology, facilities, office and other </w:t>
            </w:r>
            <w:r>
              <w:rPr>
                <w:rFonts w:ascii="Times New Roman" w:hAnsi="Times New Roman"/>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and consulting</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Information technology, facilities, office and other </w:t>
            </w:r>
            <w:r>
              <w:rPr>
                <w:rFonts w:ascii="Times New Roman" w:hAnsi="Times New Roman"/>
                <w:color w:val="000000"/>
                <w:sz w:val="13"/>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2</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technology, facilities, office and other includes depreciation and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consist of interest income and other expense, net. Interest income consists of interest earned on cash equivalents and marketable securities and amortization or accretion of discounts or premiums on marketable securities. Other expense, net consists of gains and losses on currency revaluation related to the payment of foreign vendor invoices.</w:t>
      </w:r>
    </w:p>
    <w:p>
      <w:pPr>
        <w:pStyle w:val="TextBody"/>
        <w:bidi w:val="0"/>
        <w:jc w:val="both"/>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0" w:name="mda"/>
      <w:bookmarkEnd w:id="10"/>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appearing elsewhere in this Quarterly Report and our Annual Report on Form 10-K for the year ended December 31, 2025, which was filed with the Securities and Exchange Commission ("SEC") on March 30, 2026 (the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the “Risk Factor” section of our Annual Report -K, our actual results could differ materially from the results described in, or implied by, these forward-looking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oncology company focused on expanding the breakthrough potential of targeted radiopharmaceuticals to large patient populations, including those not addressed by existing platform technologies. The field of targeted radiopharmaceuticals is currently led by two marketed products that illustrated transformative survival outcomes and quality of life benefits can be conferred by delivering radioisotopes to solid tumors. These leading products, which target prostate specific membrane antigen or somatostatin-2 receptor, are each currently approved in only one tumor type, but in those indications, have seen considerable commercial uptake and have become fundamental pillars of cancer treatment. Despite these advances, we believe that the field of radiopharmaceuticals is still in its infancy, with many emerging companies still primarily focused on these same two targets. In contrast, we see a significant opportunity to broaden the cancer patient populations benefiting from targeted radiopharmaceuticals by developing next-generation technologies that expand the scope of tumor targets for which it is possible to safely deliver a powerful payload of an alpha-emitting radioisotope. To ensure patient demand is reliably met, we are also establishing efficient end-to-end supply, with a combination of critical internal capabilities paired with experienced external vendors. Through these efforts, we seek to maximize clinical utility across multiple indications in multiple tumor types, and to expand the commercial uptake of radiopharmaceuticals beyond the traditional nuclear medicine setting and into the more expansive clinical oncology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in August 2020, we have devoted substantially all of our resources to developing our miniprotein radioconjugate platform, identifying and developing our product candidates and programs, establishing and protecting our intellectual property, conducting research and development activities, building our supply chain and manufacturing capabilities, organizing and staffing our company, raising capital and providing general and administrative support for these operations. We do not have any products approved for commercial sale and have not generated any revenues from product sales. We have funded our operations primarily with proceeds the issuance and sale of our redeemable convertible preferred stock and upfront payments from a Research and Collaboration Agreement, the Collaboration Agreement, with Eli Lilly and Company, or Eli Lilly, and have received aggregate net proceeds of $345.5 million from the sale of our redeemable convertible preferred stock, $60.0 million in upfront payments upon entering into the Collaboration Agreement, and $1.0 million upon achieving the first development milestone under the Collaboration Agreement. In January 2026, we completed our IPO of 20,297,500 shares of common stock, which included 2,647,500 shares of common stock sold pursuant to the underwriters' full exercise of their option to purchase additional shares. We received net proceeds from the IPO of $334.4 million after deducting underwriter discounts, commissions and other offering expenses incurred through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in every year since inception and we expect to continue to incur substantial losses for the foreseeable future. Our ability to generate revenue sufficient to achieve profitability will depend heavily on the successful development and eventual commercialization of one or more of our product candidates. As of March 31, 2026, we had an accumulated deficit of $174.9 million and our net losses were $18.3 million and $15.0 million for the three months ended March 31, 2026 and 2025, respectively. We expect our expenses and operating losses will increase substantially as we: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advance our lead product candidate, [</w:t>
      </w:r>
      <w:r>
        <w:rPr>
          <w:rFonts w:ascii="Times New Roman" w:hAnsi="Times New Roman"/>
          <w:color w:val="000000"/>
          <w:sz w:val="13"/>
        </w:rPr>
        <w:t>225</w:t>
      </w:r>
      <w:r>
        <w:rPr>
          <w:rFonts w:ascii="Times New Roman" w:hAnsi="Times New Roman"/>
          <w:color w:val="000000"/>
          <w:sz w:val="20"/>
        </w:rPr>
        <w:t>Ac]Ac-AKY-1189 for Nectin-4 expressing tumors, through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commence clinical trials for [</w:t>
      </w:r>
      <w:r>
        <w:rPr>
          <w:rFonts w:ascii="Times New Roman" w:hAnsi="Times New Roman"/>
          <w:color w:val="000000"/>
          <w:sz w:val="13"/>
        </w:rPr>
        <w:t>225</w:t>
      </w:r>
      <w:r>
        <w:rPr>
          <w:rFonts w:ascii="Times New Roman" w:hAnsi="Times New Roman"/>
          <w:color w:val="000000"/>
          <w:sz w:val="20"/>
        </w:rPr>
        <w:t xml:space="preserve">Ac]Ac-AKY-2519 for B7-H3 expressing tumors;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IND-enabling preclinical studies for our other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miniprotein radioconjugate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product candidates, targeting molecules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preclinical studies and clinical trials for our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utilize third-parties to manufacture our lead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scale up our supply of </w:t>
      </w:r>
      <w:r>
        <w:rPr>
          <w:rFonts w:ascii="Times New Roman" w:hAnsi="Times New Roman"/>
          <w:color w:val="000000"/>
          <w:sz w:val="13"/>
        </w:rPr>
        <w:t>225</w:t>
      </w:r>
      <w:r>
        <w:rPr>
          <w:rFonts w:ascii="Times New Roman" w:hAnsi="Times New Roman"/>
          <w:color w:val="000000"/>
          <w:sz w:val="20"/>
        </w:rPr>
        <w:t>Ac and other radioisotopes;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expand manufacturing capabilities through additional in-house facilities and expertise, as well as additional third party contractors to enable global commercial scale;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approval of product candidates that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legal, compliance, financial, and management information systems and increase personnel, including personnel to support our preclinical and clinical development, manufacturing, and future commercialization efforts as well as to support our operations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with manufacturing sources for preclinical and clinical development of any future product candidates we may develop and commercial supply with respect to any such product candidates that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undertake pre-commercial activities to enhance commercialization prospects for any current or future product candidates that may obtain regulatory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products for which we may obtain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w:t>
      </w:r>
    </w:p>
    <w:p>
      <w:pPr>
        <w:pStyle w:val="TextBody"/>
        <w:bidi w:val="0"/>
        <w:spacing w:before="120" w:after="283"/>
        <w:jc w:val="both"/>
        <w:rPr>
          <w:rFonts w:ascii="Times New Roman" w:hAnsi="Times New Roman"/>
          <w:sz w:val="20"/>
        </w:rPr>
      </w:pPr>
      <w:r>
        <w:rPr>
          <w:rFonts w:ascii="Times New Roman" w:hAnsi="Times New Roman"/>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including collaborations, licenses or other strategic arrangements. See “—</w:t>
      </w:r>
      <w:r>
        <w:rPr>
          <w:rFonts w:ascii="Times New Roman" w:hAnsi="Times New Roman"/>
          <w:i/>
          <w:color w:val="000000"/>
          <w:sz w:val="20"/>
        </w:rPr>
        <w:t>Liquidity and capital resources</w:t>
      </w:r>
      <w:r>
        <w:rPr>
          <w:rFonts w:ascii="Times New Roman" w:hAnsi="Times New Roman"/>
          <w:color w:val="000000"/>
          <w:sz w:val="20"/>
        </w:rPr>
        <w:t>.”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development of radiopharmaceutical candidates,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283"/>
        <w:jc w:val="both"/>
        <w:rPr>
          <w:rFonts w:ascii="Times New Roman" w:hAnsi="Times New Roman"/>
          <w:sz w:val="20"/>
        </w:rPr>
      </w:pPr>
      <w:r>
        <w:rPr>
          <w:rFonts w:ascii="Times New Roman" w:hAnsi="Times New Roman"/>
          <w:color w:val="000000"/>
          <w:sz w:val="20"/>
        </w:rPr>
        <w:t>As of March 31, 2026, we had cash, cash equivalents and marketable securities of $538.5 million. Based upon our current operating plans, we believe our existing cash, cash equivalents and marketable securities will be sufficient to fund our operations into 2029. We have based this estimate on assumptions that may prove to be wrong, and we could exhaust our available capital resources sooner than we expect. See the sections titled “—</w:t>
      </w:r>
      <w:r>
        <w:rPr>
          <w:rFonts w:ascii="Times New Roman" w:hAnsi="Times New Roman"/>
          <w:i/>
          <w:color w:val="000000"/>
          <w:sz w:val="20"/>
        </w:rPr>
        <w:t>Liquidity and capital resources</w:t>
      </w:r>
      <w:r>
        <w:rPr>
          <w:rFonts w:ascii="Times New Roman" w:hAnsi="Times New Roman"/>
          <w:color w:val="000000"/>
          <w:sz w:val="20"/>
        </w:rPr>
        <w:t>” and “</w:t>
      </w:r>
      <w:r>
        <w:rPr>
          <w:rFonts w:ascii="Times New Roman" w:hAnsi="Times New Roman"/>
          <w:i/>
          <w:color w:val="000000"/>
          <w:sz w:val="20"/>
        </w:rPr>
        <w:t>Risk factors</w:t>
      </w:r>
      <w:r>
        <w:rPr>
          <w:rFonts w:ascii="Times New Roman" w:hAnsi="Times New Roman"/>
          <w:color w:val="000000"/>
          <w:sz w:val="20"/>
        </w:rPr>
        <w:t>” included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incur contingent regulatory and development milestones, commercial milestones and royalty payments that we are required to make under our license and collaboration agreements, in which the amounts to be paid by us are not fixed or determinable at this time. For a more detailed description of these agreements, see Notes 11 and 12 to our audited consolidated financial statements in the Annual Report. There have been no material changes to the terms and conditions, or accounting conclusions, previously disclosed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the sale of products in the near future, if ever. Substantially all of our revenue to date has been derived from the work performed under the Collaboration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development efforts for our current or future product candidates are successful and result in regulatory approval or if we enter into additional license or collaboration agreements with third parties, we may generate revenue in the future from product sales,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such license or collaboration agreements, or any combination thereof.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complete clinical trials, our ability to generate future revenues, and our results of operations and financial position would be adversely affected. </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research and development expenses in the periods in which they are incurred. Research and development expenses consist primarily of employee-related costs and other internal and external costs associated with our discovery and development efforts and the preclinical development of our current and future product candidates. In particular, our research and development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employee-related costs, including salaries, bonuses, benefits and stock-based compensation for employees engaged in research and development functions;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to acquire in-process research and development with no alternative future use acquired in an asset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including expenses incurred under arrangements with third parties, such as contract research organizations, or CROs, contract development and manufacturing organizations, or CDMOs, consultants and our scientific advisors;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including costs for laboratory supplies, research materials and reagents;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fees, including any milestone-based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facility costs, depreciation and other expenses, which include direct and allocated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obtaining and maintaining patent and trade secret protection for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track direct external research and development expenses by stage of program, clinical or preclinical. We expect to report external research and development expenses for each clinical drug candidate following development candidate designation. Our internal research and development expenses are deployed across multiple programs and, as such, are not separately tracked. Significant judgments and estimates are made in determining the accrued, or prepaid expense balances at the end of any reporting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We expect that our research and development expenses will continue to increase for the foreseeable future as we advance our product candidates into and through clinical development and as we continue to develop additional product candidates. We expect to fund our research and development expenses from our current cash, cash equivalents, investments in marketable securities, and a combination of public and private equity offerings, debt financings, or other sources of capital, which may include additional collaborations with other companies, marketing, distribution, or licensing arrangements with third parties, or other similar arrangements.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stock-based compensation expenses for personnel in executive, finance, accounting, human resources, and other administrative functions. General and administrative expenses also include professional and consulting expenses, including legal fees relating to patent, intellectual property, and corporate matters, professional fees for accounting, audit, and consulting services, and facility and depreciation expenses, including expenses for rent, director and officer insurance expenses, and other operating costs not included in research and development. We recognize general and administrative expenses in the periods in which they are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as we increase our headcount to support our expansion of the business. We also anticipate that we will incur significantly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consists of interest earned, the accretion or amortization of discount or premiums on our cash equivalents and investments in marketable securities on investments classified as available-for-sale, and realized and unrealized foreign currency transaction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recorded any income tax benefits or expense for the net losses we have incurred in each period or for our earned research and development tax credits, as we believe, based upon the weight of available evidence, that it is more likely than not that all of our net operating loss carryforwards and tax credits will not be realized. As of December 31, 2025, we had net operating loss carryforwards, or NOLs, for federal and state income tax purposes of $45.8 million and $40.8 million, respectively. The federal NOLs are not subject to expiration and the state NOLs begin to expire in 2041. These loss carryforwards are available to reduce future federal taxable income, if any. As of the three months ended March 31, 2026 and 2025, we have recorded a full valuation allowance against our net deferred tax assets.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p>
      <w:pPr>
        <w:pStyle w:val="TextBody"/>
        <w:bidi w:val="0"/>
        <w:jc w:val="both"/>
        <w:rPr/>
      </w:pPr>
      <w:r>
        <w:rPr/>
        <w:t> </w:t>
      </w:r>
    </w:p>
    <w:tbl>
      <w:tblPr>
        <w:tblW w:w="6508" w:type="dxa"/>
        <w:jc w:val="left"/>
        <w:tblInd w:w="0" w:type="dxa"/>
        <w:tblLayout w:type="fixed"/>
        <w:tblCellMar>
          <w:top w:w="28" w:type="dxa"/>
          <w:left w:w="28" w:type="dxa"/>
          <w:bottom w:w="28" w:type="dxa"/>
          <w:right w:w="28" w:type="dxa"/>
        </w:tblCellMar>
      </w:tblPr>
      <w:tblGrid>
        <w:gridCol w:w="2411"/>
        <w:gridCol w:w="346"/>
        <w:gridCol w:w="211"/>
        <w:gridCol w:w="736"/>
        <w:gridCol w:w="166"/>
        <w:gridCol w:w="146"/>
        <w:gridCol w:w="211"/>
        <w:gridCol w:w="736"/>
        <w:gridCol w:w="166"/>
        <w:gridCol w:w="146"/>
        <w:gridCol w:w="211"/>
        <w:gridCol w:w="631"/>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was $3.2 million and $1.4 million for the three months ended March 31, 2026 and 2025, respectively, driven by revenue recognized from our Collaboration Agreement with Eli Lilly, which is recognized over time using the cost incurred input method.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4811"/>
        <w:gridCol w:w="246"/>
        <w:gridCol w:w="211"/>
        <w:gridCol w:w="676"/>
        <w:gridCol w:w="146"/>
        <w:gridCol w:w="146"/>
        <w:gridCol w:w="211"/>
        <w:gridCol w:w="676"/>
        <w:gridCol w:w="146"/>
        <w:gridCol w:w="146"/>
        <w:gridCol w:w="211"/>
        <w:gridCol w:w="631"/>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Ac]Ac-AKY-1189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Ac]Ac-AKY-2519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lab and depreciation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related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$20.0 million for the three months ended March 31, 2026, compared to $15.9 million for the comparable prior year period. The increase of $4.1 million was primarily due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$2.2 million increase in direct costs associated with advancing [</w:t>
      </w:r>
      <w:r>
        <w:rPr>
          <w:rFonts w:ascii="Times New Roman" w:hAnsi="Times New Roman"/>
          <w:color w:val="000000"/>
          <w:sz w:val="13"/>
        </w:rPr>
        <w:t>225</w:t>
      </w:r>
      <w:r>
        <w:rPr>
          <w:rFonts w:ascii="Times New Roman" w:hAnsi="Times New Roman"/>
          <w:color w:val="000000"/>
          <w:sz w:val="20"/>
        </w:rPr>
        <w:t>Ac]Ac-AKY-2519 through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$2.1 million increase primarily driven by an increase in employee-related costs (including stock-based compensation) attributable to our increased headcount to support the advancement of our clinical development programs and manufacturing;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$0.8 million increase in direct costs for [</w:t>
      </w:r>
      <w:r>
        <w:rPr>
          <w:rFonts w:ascii="Times New Roman" w:hAnsi="Times New Roman"/>
          <w:color w:val="000000"/>
          <w:sz w:val="13"/>
        </w:rPr>
        <w:t>225</w:t>
      </w:r>
      <w:r>
        <w:rPr>
          <w:rFonts w:ascii="Times New Roman" w:hAnsi="Times New Roman"/>
          <w:color w:val="000000"/>
          <w:sz w:val="20"/>
        </w:rPr>
        <w:t>Ac]Ac-AKY-1189 related to the ongoing operations of our Phase 1b clinical trial for this program;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increase in facility, lab and depreciation costs primarily related to an increase in laboratory equipment as a result of our expansion of laboratory space and an increase in software subscriptions, partially offset by;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$1.2 million decrease in discovery and development costs relating to a shift toward increased direct program spend for [</w:t>
      </w:r>
      <w:r>
        <w:rPr>
          <w:rFonts w:ascii="Times New Roman" w:hAnsi="Times New Roman"/>
          <w:color w:val="000000"/>
          <w:sz w:val="13"/>
        </w:rPr>
        <w:t>225</w:t>
      </w:r>
      <w:r>
        <w:rPr>
          <w:rFonts w:ascii="Times New Roman" w:hAnsi="Times New Roman"/>
          <w:color w:val="000000"/>
          <w:sz w:val="20"/>
        </w:rPr>
        <w:t>Ac]AKY-1189 and [</w:t>
      </w:r>
      <w:r>
        <w:rPr>
          <w:rFonts w:ascii="Times New Roman" w:hAnsi="Times New Roman"/>
          <w:color w:val="000000"/>
          <w:sz w:val="13"/>
        </w:rPr>
        <w:t>225</w:t>
      </w:r>
      <w:r>
        <w:rPr>
          <w:rFonts w:ascii="Times New Roman" w:hAnsi="Times New Roman"/>
          <w:color w:val="000000"/>
          <w:sz w:val="20"/>
        </w:rPr>
        <w:t>Ac]AKY-2519.</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(in thousands): </w:t>
      </w:r>
    </w:p>
    <w:p>
      <w:pPr>
        <w:pStyle w:val="TextBody"/>
        <w:bidi w:val="0"/>
        <w:jc w:val="both"/>
        <w:rPr/>
      </w:pPr>
      <w:r>
        <w:rPr/>
        <w:t> </w:t>
      </w:r>
    </w:p>
    <w:tbl>
      <w:tblPr>
        <w:tblW w:w="8976" w:type="dxa"/>
        <w:jc w:val="left"/>
        <w:tblInd w:w="0" w:type="dxa"/>
        <w:tblLayout w:type="fixed"/>
        <w:tblCellMar>
          <w:top w:w="28" w:type="dxa"/>
          <w:left w:w="28" w:type="dxa"/>
          <w:bottom w:w="28" w:type="dxa"/>
          <w:right w:w="28" w:type="dxa"/>
        </w:tblCellMar>
      </w:tblPr>
      <w:tblGrid>
        <w:gridCol w:w="5491"/>
        <w:gridCol w:w="146"/>
        <w:gridCol w:w="213"/>
        <w:gridCol w:w="577"/>
        <w:gridCol w:w="147"/>
        <w:gridCol w:w="147"/>
        <w:gridCol w:w="213"/>
        <w:gridCol w:w="577"/>
        <w:gridCol w:w="246"/>
        <w:gridCol w:w="246"/>
        <w:gridCol w:w="211"/>
        <w:gridCol w:w="571"/>
        <w:gridCol w:w="19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depreciation,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were $5.9 million for the three months ended March 31, 2026, compared to $3.7 million for the comparable prior year period. The increase of $2.2 million was primarily due to an increase in employee-related costs (including stock-based compensation) attributable to our increased headcount, as well as higher professional and consulting costs and director and officer insurance costs associated with operating as a public company.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net was $4.4 million for the three months ended March 31, 2026, compared to $3.2 million for the comparable prior year period. The increase of $1.2 million was primarily driven by an increase in interest income earned due to higher average balances in cash equivalents and marketable securities in the three months ended March 31, 2026 compared to the three months ended March 31,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costs to continue to increase significantly, including the costs associated with operating as a public company. As a result, we will need additional capital to fund our operations, which we may obtain from additional equity or debt financings or strategic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we raised aggregate net proceeds of $334.4 million, after deducting underwriter discounts, commissions and other offering expenses incurred through March 31, 2026, from the sale of shares of common stock in our initial public offering. As of March 31, 2026, we had cash, cash equivalents and marketable securities of $538.5 million.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(in thousands): </w:t>
      </w:r>
    </w:p>
    <w:p>
      <w:pPr>
        <w:pStyle w:val="TextBody"/>
        <w:bidi w:val="0"/>
        <w:jc w:val="both"/>
        <w:rPr/>
      </w:pPr>
      <w:r>
        <w:rPr/>
        <w:t> </w:t>
      </w:r>
    </w:p>
    <w:tbl>
      <w:tblPr>
        <w:tblW w:w="7319" w:type="dxa"/>
        <w:jc w:val="left"/>
        <w:tblInd w:w="0" w:type="dxa"/>
        <w:tblLayout w:type="fixed"/>
        <w:tblCellMar>
          <w:top w:w="28" w:type="dxa"/>
          <w:left w:w="28" w:type="dxa"/>
          <w:bottom w:w="28" w:type="dxa"/>
          <w:right w:w="28" w:type="dxa"/>
        </w:tblCellMar>
      </w:tblPr>
      <w:tblGrid>
        <w:gridCol w:w="4711"/>
        <w:gridCol w:w="146"/>
        <w:gridCol w:w="211"/>
        <w:gridCol w:w="781"/>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was $24.2 million for the three months ended March 31, 2026, primarily consisting of our net loss of $18.3 million and net changes in operating assets and liabilities of $9.1 million, offset by non-cash charges of $3.2 million related to accretion of investment discounts, stock-based compensation and depreciation.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$17.5 million for three months ended March 31, 2025, primarily consisting of our net loss of $15.0 million, changes in operating assets and liabilities of $2.4 million, and $0.1 million of non-cash charges related to stock-based compensation, depreciation, and accretion of investment discounts.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$20.5 million for the three months ended March 31, 2026, primarily consisting of maturities of marketable securities of $22.4 million, partially offset by purchases of property and equipment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$39.0 million for the three months ended March 31, 2025, primarily consisting of maturities of marketable securities of $51.7 million, partially offset by purchases of marketable securities and property and equipment of $10.8 million and $1.9 million, respectively.</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$337.5 million for the three months ended March 31, 2026, primarily consisting of gross proceeds from the IPO of $339.8 million partially offset by payment of offering costs of $2.3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was $0.5 million for the three months ended March 31, 2025, primarily consisting of payments of offering costs of $0.5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cash, cash equivalents and marketable securities of $538.5 million. Based upon our current operating plans, we believe that our existing cash, cash equivalents and marketable securities, will be sufficient to fund our operations into 2029. We have based this estimate on assumptions that may prove to be wrong, and we could expend our capital resources sooner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incur significant expenses and operating losses for the foreseeable future as we advance our product candidates into and through clinical development and as we continue to develop additional product candidates. In addition, we expect to incur additional costs associated with operating as a public company, including significant legal, accounting, investor relations and other expenses that we did not incur as a private company. We may also require additional capital to pursue additional research and collaboration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 candidates, we are unable to estimate the amount of our future working capital requirements.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scope, progress, results and costs related to the clinical development of [</w:t>
      </w:r>
      <w:r>
        <w:rPr>
          <w:rFonts w:ascii="Times New Roman" w:hAnsi="Times New Roman"/>
          <w:color w:val="000000"/>
          <w:sz w:val="13"/>
        </w:rPr>
        <w:t>225</w:t>
      </w:r>
      <w:r>
        <w:rPr>
          <w:rFonts w:ascii="Times New Roman" w:hAnsi="Times New Roman"/>
          <w:color w:val="000000"/>
          <w:sz w:val="20"/>
        </w:rPr>
        <w:t>Ac]Ac-AKY-1189 for Nectin-4 expressing tumors;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preclinical development and planned clinical trials for our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advancing and furthering our miniprotein radioconjugate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establishing, operating and maintaining our manufacturing facility, or securing other manufacturing arrangements for clinical-supply and commercial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cost and availability of sufficient supply of </w:t>
      </w:r>
      <w:r>
        <w:rPr>
          <w:rFonts w:ascii="Times New Roman" w:hAnsi="Times New Roman"/>
          <w:color w:val="000000"/>
          <w:sz w:val="13"/>
        </w:rPr>
        <w:t>225</w:t>
      </w:r>
      <w:r>
        <w:rPr>
          <w:rFonts w:ascii="Times New Roman" w:hAnsi="Times New Roman"/>
          <w:color w:val="000000"/>
          <w:sz w:val="20"/>
        </w:rPr>
        <w:t>Ac and other radioisotopes;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achievement of milestones or occurrence of other developments that trigger payments by us or our collaborators under any current or future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additional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emergence of competing therapies for oncology indications and other adverse market developments;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obtaining, maintaining, protecting, defending and enforcing our intellectual property rights and defending intellectual property-related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costs of establishing or contracting for sales and marketing capabilities if we obtain regulatory clearances to market [</w:t>
      </w:r>
      <w:r>
        <w:rPr>
          <w:rFonts w:ascii="Times New Roman" w:hAnsi="Times New Roman"/>
          <w:color w:val="000000"/>
          <w:sz w:val="13"/>
        </w:rPr>
        <w:t>225</w:t>
      </w:r>
      <w:r>
        <w:rPr>
          <w:rFonts w:ascii="Times New Roman" w:hAnsi="Times New Roman"/>
          <w:color w:val="000000"/>
          <w:sz w:val="20"/>
        </w:rPr>
        <w:t>Ac]Ac-AKY-1189 for any Nectin-4 expressing tumors or any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Royalty transfer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2020, we entered into a royalty transfer agreement, or the Royalty Transfer Agreement, with MPM Oncology Charitable Foundation, Inc., or MPM Charitable Foundation, an affiliate of a stockholder holding more than 5% of our total outstanding stock, and the UBS Optimus Foundation, or UBS, and together with MPM Charitable Foundation, the Charitable Foundations. Pursuant to the Royalty Transfer Agreement, we will pay 0.5% of our annual global net sales to each of the Charitable Foundations, for a total of 1.0% of net sales, subject to customary reductions, for products that incorporate or utilize intellectual property that was discovered or developed by us prior to our initial public offering. Our payment obligations for each product will continue on a country-by-country basis upon the later of the twelfth anniversary of the first commercial sale of our product in such country or the expiration of the last to expire of certain patents owned or controlled by us covering such products in such country.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payment obligations to MPM Charitable Foundation will terminate immediately upon the authorization of the MPM Charitable Foundation’s board of directors (or similar body) or upon the winding up or dissolution of MPM Charitable Foundation. Our payment obligations to UBS will terminate immediately upon the winding up of Oncology Impact Fund 2, L.P., a Cayman Islands exempted limited partnership, which is associated with MPM Charitable Foundation.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had future minimum operating lease payment obligations under non-cancellable leases of $16.1 million related to leases we have recognized on our consolidated balance sheets, which are due over the following 6.54 years.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agreements with certain third parties to license intellectual property include potential milestone fees, sublicense fees and royalty fees. The milestone fees are dependent upon the development of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Notes 11 and 12 to our audited consolidated financial statements in the Annual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Purchase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For additional information on our contractual obligations and commitments please see Note 13 to our audited consolidated financial statements included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from those described in detail in Note 2 to our audited consolidated financial statements included in our Annual Report.</w:t>
      </w:r>
    </w:p>
    <w:p>
      <w:pPr>
        <w:pStyle w:val="TextBody"/>
        <w:bidi w:val="0"/>
        <w:spacing w:before="240" w:after="283"/>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audited consolidated financial statements and unaudited interim condensed consolidated financial statements included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as amended,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2026, our disclosure controls and procedures were effective at the reasonable assurance level.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our most recent fiscal quarter that has materially affected, or is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are not currently subject to any material legal or arbitration proceedings.</w:t>
      </w:r>
    </w:p>
    <w:p>
      <w:pPr>
        <w:pStyle w:val="TextBody"/>
        <w:bidi w:val="0"/>
        <w:spacing w:before="240" w:after="283"/>
        <w:jc w:val="left"/>
        <w:rPr>
          <w:rFonts w:ascii="Times New Roman" w:hAnsi="Times New Roman"/>
          <w:b/>
          <w:color w:val="000000"/>
          <w:sz w:val="20"/>
        </w:rPr>
      </w:pPr>
      <w:bookmarkStart w:id="15" w:name="item_1a_risk_factor"/>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There have been no material changes to the risk factors set forth in Part I, Item 1A of our Annual Report filed with the SEC on March 30, 2026.</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6" w:name="item_2_unregistered_sales_equity_sec"/>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8, 2026, we issued to certain of our employees and directors options to purchase an aggregate of 1,720,277 shares of our common stock at an exercise price per share equal to $18.00 under our 2026 Equity Incentive Plan, or the 2026 Plan. The offers, sales and issuances of the securities described in this paragraph were deemed to be exempt from registration either under Rule 701 promulgated under the Securities Act, or Rule 701, in that the transactions were under compensatory benefit plans and contracts relating to compensation. The recipients of such securities were our employees, directors or consultants and received the securities under the 2026 Plan, as applicable. Appropriate legends were affixed to the securities issued in these transactions. Each of the recipients of securities in these transactions had adequate access, through employment, business or other relationships, to information about our company. We filed a registration statement on Form S-8 (File No. 333-292679) under the Securities Act on January 12, 2026 to register all of the shares of our common stock subject to outstanding options and all shares of our common stock otherwise issuable pursuant to the 2026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12, 2026, immediately prior to the closing of our initial public offering, or the IPO, all of our outstanding shares of convertible preferred stock automatically converted into 32,184,389 shares of our common stock and 1,872,829 shares of our Class A common stock. The issuance of such common stock and Class A common stock upon conversion of the convertible preferred stock was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Proceeds from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8, 2026, the SEC declared effective our registration statement on Form S-1 (File No. 333-292283), as amended, or the Registration Statement, filed in connection with our IPO. Pursuant to the Registration Statement, we registered the offer and sale of 20,297,500 shares of our common stock with a maximum aggregate offering price of approximately $365.4 million. J.P. Morgan Securities LLC, BofA Securities, Inc., Leerink Partners LLC and TD Securities (USA) LLC acted as representatives of the underwriters for the IPO. We received net proceeds of $334.4 million from the sale of 20,297,500 shares of common stock at a price of $18.00 per share, which included 2,647,500 shares of common stock sold pursuant to the underwriters' full exercise of their option to purchase additional shares, after deducting offering costs payable by us of $5.4 million incurred through March 31, 2026. None of the expenses associated with the IPO were paid to directors, officers, persons owning 10% or more of any class of equity securities, or to our affiliates.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no material change in the expected use of the net proceeds from our IPO as described in our final prospectus filed with the SEC pursuant to Rule 424(b) of the Securities Act on January 9, 2026. We are holding a significant portion of the balance of the net proceeds in money market funds. </w:t>
      </w:r>
    </w:p>
    <w:p>
      <w:pPr>
        <w:pStyle w:val="TextBody"/>
        <w:bidi w:val="0"/>
        <w:spacing w:before="240" w:after="283"/>
        <w:jc w:val="left"/>
        <w:rPr>
          <w:rFonts w:ascii="Times New Roman" w:hAnsi="Times New Roman"/>
          <w:b/>
          <w:color w:val="000000"/>
          <w:sz w:val="20"/>
        </w:rPr>
      </w:pPr>
      <w:bookmarkStart w:id="17" w:name="item_3_defaults_upon_senio"/>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4_mine_safety_disclo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4"/>
        <w:gridCol w:w="146"/>
        <w:gridCol w:w="9225"/>
      </w:tblGrid>
      <w:tr>
        <w:trPr/>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on Form 10-Q are not deemed filed with the Securities and Exchange Commission and are not to be incorporated by reference into any filing of Aktis Oncology,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04" w:type="dxa"/>
        <w:jc w:val="left"/>
        <w:tblInd w:w="0" w:type="dxa"/>
        <w:tblLayout w:type="fixed"/>
        <w:tblCellMar>
          <w:top w:w="28" w:type="dxa"/>
          <w:left w:w="28" w:type="dxa"/>
          <w:bottom w:w="28" w:type="dxa"/>
          <w:right w:w="28" w:type="dxa"/>
        </w:tblCellMar>
      </w:tblPr>
      <w:tblGrid>
        <w:gridCol w:w="1741"/>
        <w:gridCol w:w="146"/>
        <w:gridCol w:w="406"/>
        <w:gridCol w:w="29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Aktis Oncology,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Roden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Roden,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Kuvalanka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Kuvalanka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2" w:name="ck0002035832-ex31_1.htm"/>
      <w:bookmarkStart w:id="23" w:name="ksck0002035832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Roden,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Aktis Oncology,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May 11, 2026</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u w:val="single"/>
        </w:rPr>
      </w:pPr>
      <w:r>
        <w:rPr>
          <w:rFonts w:ascii="Times New Roman" w:hAnsi="Times New Roman"/>
          <w:color w:val="000000"/>
          <w:sz w:val="20"/>
          <w:u w:val="single"/>
        </w:rPr>
        <w:t>/s/Matthew Roden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Matthew Roden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4" w:name="ck0002035832-ex31_2.htm"/>
      <w:bookmarkStart w:id="25" w:name="ksck0002035832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Kyle D. Kuvalanka,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Aktis Oncology,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May 11, 2026</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u w:val="single"/>
        </w:rPr>
      </w:pPr>
      <w:r>
        <w:rPr>
          <w:rFonts w:ascii="Times New Roman" w:hAnsi="Times New Roman"/>
          <w:color w:val="000000"/>
          <w:sz w:val="20"/>
          <w:u w:val="single"/>
        </w:rPr>
        <w:t>/s/Kyle D. Kuvalanka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Kyle D. Kuvalanka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6" w:name="ck0002035832-ex32_1.htm"/>
      <w:bookmarkStart w:id="27" w:name="ksck0002035832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Aktis Oncology, Inc. (the “Company”) for the quarter ended March 31, 2026 as filed with the Securities and Exchange Commission on the date hereof (the “Report”), each of the undersigned hereby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60" w:after="283"/>
        <w:jc w:val="both"/>
        <w:rPr/>
      </w:pPr>
      <w:r>
        <w:rPr/>
        <w:t> </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Roden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Roden,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Chief Executive Officer </w:t>
              <w:br/>
              <w:t>(Principal Executive Officer)</w:t>
            </w:r>
          </w:p>
        </w:tc>
      </w:tr>
    </w:tbl>
    <w:p>
      <w:pPr>
        <w:pStyle w:val="TextBody"/>
        <w:bidi w:val="0"/>
        <w:spacing w:before="60" w:after="283"/>
        <w:jc w:val="both"/>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D. Kuvalanka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Kyle D. Kuvalanka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Chief Financial Officer </w:t>
              <w:br/>
              <w:t>(Principal Financial and Accounting Officer)</w:t>
            </w:r>
          </w:p>
        </w:tc>
      </w:tr>
    </w:tbl>
    <w:p>
      <w:pPr>
        <w:pStyle w:val="TextBody"/>
        <w:bidi w:val="0"/>
        <w:spacing w:before="60" w:after="283"/>
        <w:jc w:val="both"/>
        <w:rPr/>
      </w:pPr>
      <w:r>
        <w:rPr/>
        <w:t> </w:t>
      </w:r>
    </w:p>
    <w:p>
      <w:pPr>
        <w:pStyle w:val="TextBody"/>
        <w:bidi w:val="0"/>
        <w:spacing w:before="60" w:after="283"/>
        <w:jc w:val="both"/>
        <w:rPr/>
      </w:pPr>
      <w:r>
        <w:rPr/>
        <w:t> </w:t>
      </w:r>
    </w:p>
    <w:p>
      <w:pPr>
        <w:pStyle w:val="TextBody"/>
        <w:bidi w:val="0"/>
        <w:spacing w:before="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14915</Words>
  <Characters>84528</Characters>
  <CharactersWithSpaces>100133</CharactersWithSpaces>
  <Paragraphs>4147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