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100" w:right="2820" w:hanging="4079"/>
        <w:spacing w:after="0" w:line="325" w:lineRule="auto"/>
        <w:tabs>
          <w:tab w:leader="none" w:pos="49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80" w:right="2500" w:hanging="3059"/>
        <w:spacing w:after="0" w:line="334" w:lineRule="auto"/>
        <w:tabs>
          <w:tab w:leader="none" w:pos="503"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 to _________________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001-43047</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Aktis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85-2584233</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9" w:lineRule="exact"/>
        <w:rPr>
          <w:sz w:val="24"/>
          <w:szCs w:val="24"/>
          <w:color w:val="auto"/>
        </w:rPr>
      </w:pPr>
    </w:p>
    <w:p>
      <w:pPr>
        <w:sectPr>
          <w:pgSz w:w="11900" w:h="16838" w:orient="portrait"/>
          <w:cols w:equalWidth="0" w:num="2">
            <w:col w:w="7260" w:space="680"/>
            <w:col w:w="3300"/>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rPr>
              <w:t>17 Drydock Avenue, Suite 17-401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rPr>
              <w:t>Boston, Massachusetts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Pr>
          <w:p>
            <w:pPr>
              <w:jc w:val="right"/>
              <w:ind w:right="2550"/>
              <w:spacing w:after="0"/>
              <w:rPr>
                <w:sz w:val="20"/>
                <w:szCs w:val="20"/>
                <w:color w:val="auto"/>
              </w:rPr>
            </w:pPr>
            <w:r>
              <w:rPr>
                <w:rFonts w:ascii="Times New Roman" w:cs="Times New Roman" w:eastAsia="Times New Roman" w:hAnsi="Times New Roman"/>
                <w:sz w:val="16"/>
                <w:szCs w:val="16"/>
                <w:b w:val="1"/>
                <w:bCs w:val="1"/>
                <w:color w:val="auto"/>
              </w:rPr>
              <w:t>02210</w:t>
            </w:r>
          </w:p>
        </w:tc>
        <w:tc>
          <w:tcPr>
            <w:tcW w:w="0" w:type="dxa"/>
            <w:vAlign w:val="bottom"/>
          </w:tcPr>
          <w:p>
            <w:pPr>
              <w:spacing w:after="0"/>
              <w:rPr>
                <w:sz w:val="1"/>
                <w:szCs w:val="1"/>
                <w:color w:val="auto"/>
              </w:rPr>
            </w:pPr>
          </w:p>
        </w:tc>
      </w:tr>
      <w:tr>
        <w:trPr>
          <w:trHeight w:val="166"/>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60" w:type="dxa"/>
            <w:vAlign w:val="bottom"/>
          </w:tcPr>
          <w:p>
            <w:pPr>
              <w:jc w:val="center"/>
              <w:ind w:right="189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39"/>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461-4023</w:t>
            </w:r>
          </w:p>
        </w:tc>
        <w:tc>
          <w:tcPr>
            <w:tcW w:w="0" w:type="dxa"/>
            <w:vAlign w:val="bottom"/>
          </w:tcPr>
          <w:p>
            <w:pPr>
              <w:spacing w:after="0"/>
              <w:rPr>
                <w:sz w:val="1"/>
                <w:szCs w:val="1"/>
                <w:color w:val="auto"/>
              </w:rPr>
            </w:pPr>
          </w:p>
        </w:tc>
      </w:tr>
      <w:tr>
        <w:trPr>
          <w:trHeight w:val="87"/>
        </w:trPr>
        <w:tc>
          <w:tcPr>
            <w:tcW w:w="45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4"/>
            <w:vMerge w:val="restart"/>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40" w:type="dxa"/>
            <w:vAlign w:val="bottom"/>
            <w:gridSpan w:val="4"/>
            <w:vMerge w:val="continue"/>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4"/>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60" w:type="dxa"/>
            <w:vAlign w:val="bottom"/>
          </w:tcPr>
          <w:p>
            <w:pPr>
              <w:jc w:val="center"/>
              <w:ind w:right="97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82"/>
        </w:trPr>
        <w:tc>
          <w:tcPr>
            <w:tcW w:w="450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AKTS</w:t>
            </w:r>
          </w:p>
        </w:tc>
        <w:tc>
          <w:tcPr>
            <w:tcW w:w="120" w:type="dxa"/>
            <w:vAlign w:val="bottom"/>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366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45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240" w:type="dxa"/>
            <w:vAlign w:val="bottom"/>
            <w:gridSpan w:val="8"/>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580" w:type="dxa"/>
            <w:vAlign w:val="bottom"/>
            <w:gridSpan w:val="7"/>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366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8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520"/>
        <w:spacing w:after="0" w:line="161" w:lineRule="exact"/>
        <w:tabs>
          <w:tab w:leader="none" w:pos="77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0"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Registrant did not have a public float on the last business day of its most recently completed second fiscal quarter because there was no public market for the Registrant’s common equity as of such date.</w:t>
      </w:r>
    </w:p>
    <w:p>
      <w:pPr>
        <w:spacing w:after="0" w:line="2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Registrant’s Common Stock and Class A common stock outstanding as of March 10, 2026 was 53,403,173 and 1,872,829, respectively.</w:t>
      </w:r>
    </w:p>
    <w:p>
      <w:pPr>
        <w:spacing w:after="0" w:line="5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1" w:name="page2"/>
    <w:bookmarkEnd w:id="1"/>
    <w:p>
      <w:pPr>
        <w:ind w:left="31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16"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and results of our research and development programs, preclinical studies, clinical trials, investigational new drug or biological license applications, and other regulatory submissions;</w:t>
      </w:r>
    </w:p>
    <w:p>
      <w:pPr>
        <w:spacing w:after="0" w:line="60"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B7-H3 expressing tumors and any other current or future product candidates that we may identify or develop;</w:t>
      </w:r>
    </w:p>
    <w:p>
      <w:pPr>
        <w:spacing w:after="0" w:line="2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obtain an adequate supply at reasonable costs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or any other radioisotope we may incorporate into our drug candidates;</w:t>
      </w:r>
    </w:p>
    <w:p>
      <w:pPr>
        <w:spacing w:after="0" w:line="75"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fulfillment and logistical challenges posed by the time-limited stabilization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UC and other Nectin-4 expressing tumors or any other current or future product candidate we develop;</w:t>
      </w:r>
    </w:p>
    <w:p>
      <w:pPr>
        <w:spacing w:after="0" w:line="9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the clinical trials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our other product candidates, or any future product candidates;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miniprotein radioconjugate platform;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including our ability to comply with our financial obligations pursuant to the terms of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the achievement of milestones pursuant to our existing collaboration and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product candidates for treatment of additional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timing and costs of constructing our own current Good Manufacturing Practices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service providers, including our suppliers and manufacturers;</w:t>
      </w:r>
    </w:p>
    <w:p>
      <w:pPr>
        <w:spacing w:after="0" w:line="123"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UC and any other Nectin-4 expressing tumors, and any other current or future product candidates we may develop;</w:t>
      </w:r>
    </w:p>
    <w:p>
      <w:pPr>
        <w:spacing w:after="0" w:line="9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any other current or future product candidates, as well as innovations by current and future competitors in our industry;</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any product candidates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opportunities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maintain, defend, protect and enforce for intellectual property rights covering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and smaller reporting Company under the Jumpstart Our Business Startups Act of 2012, as amended;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 public health emergency, such as the recent global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 capital requirements and need for additional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our ability to effectively manage our anticipated growth.</w:t>
      </w:r>
    </w:p>
    <w:p>
      <w:pPr>
        <w:spacing w:after="0" w:line="117" w:lineRule="exact"/>
        <w:rPr>
          <w:sz w:val="20"/>
          <w:szCs w:val="20"/>
          <w:color w:val="auto"/>
        </w:rPr>
      </w:pPr>
    </w:p>
    <w:p>
      <w:pPr>
        <w:jc w:val="both"/>
        <w:ind w:firstLine="253"/>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for any reason after the date of this report to conform these statements to new information, future events or otherwise.</w:t>
      </w:r>
    </w:p>
    <w:p>
      <w:pPr>
        <w:spacing w:after="0" w:line="84" w:lineRule="exact"/>
        <w:rPr>
          <w:sz w:val="20"/>
          <w:szCs w:val="20"/>
          <w:color w:val="auto"/>
        </w:rPr>
      </w:pPr>
    </w:p>
    <w:p>
      <w:pPr>
        <w:jc w:val="both"/>
        <w:ind w:firstLine="253"/>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herein and have filed with the SEC as exhibits to this Annual Report on Form 10-K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factors summarized and detailed below could materially harm our business, operating results and/or financial condition, impair our future prospects and/or cause the price of our common stock to decline. These are not all of the risks we face, and other factors not presently known to us or that we currently believe are immaterial may also affect our business if they occur. A summary of the material risks that may affect our business, operating results and financial condition include, but are not necessarily limited to, those relating to:</w:t>
      </w:r>
    </w:p>
    <w:p>
      <w:pPr>
        <w:spacing w:after="0" w:line="72" w:lineRule="exact"/>
        <w:rPr>
          <w:sz w:val="20"/>
          <w:szCs w:val="20"/>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have no products approved for sale, and we expect to incur losses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our prospects and likelihood of success.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to finance operations. If we are unable to raise capital when needed, or on acceptable terms, we would be forced to delay, reduce, or eliminate our research and product candidate development programs.</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If we are unable to develop, and commercialize, any of our current or future product candidates through clinical development, obtain regulatory approval and ultimately commercialize our product candidates, or if we experience significant delays in doing so, our business will be materially harmed.</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2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Nectin-4 expressing tumors. We must complete clinical trials before we can seek regulatory approval and begin commercialization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If we are unable to obtain regulatory approval for, and successfully commercialize,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our business may be materially harmed, and such failure may affect our other current or future product candidates.</w:t>
      </w:r>
    </w:p>
    <w:p>
      <w:pPr>
        <w:spacing w:after="0" w:line="93"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is a lengthy and expensive process with uncertain timelines and uncertain outcomes. If preclinical studies or clinical trials of a product candidate are prolonged or delayed, we may be unable to obtain required regulatory approvals, and therefore be unable to commercialize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indication or any of our other current or future product candidates on a timely basis or at all.</w:t>
      </w:r>
    </w:p>
    <w:p>
      <w:pPr>
        <w:spacing w:after="0" w:line="8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using our miniprotein radioconjugate platform represents a novel approach to radiation therapy, which may create significant and potentially unpredictable challenges for us.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adverse events, undesirable side effects or have other properties that could halt their preclinical or clinical development, prevent, delay, or cause the withdrawal of their regulatory approval, limit their commercial potential, or result in significant negative consequences, including death of patients.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dosimetry assessments, and early-stage clinical trials may not be predictive of the results of future preclinical studies or clinical trials.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or preliminary data from our preclinical studies and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74" w:lineRule="exact"/>
        <w:rPr>
          <w:rFonts w:ascii="Times New Roman" w:cs="Times New Roman" w:eastAsia="Times New Roman" w:hAnsi="Times New Roman"/>
          <w:sz w:val="18"/>
          <w:szCs w:val="18"/>
          <w:color w:val="auto"/>
        </w:rPr>
      </w:pPr>
    </w:p>
    <w:p>
      <w:pPr>
        <w:jc w:val="both"/>
        <w:ind w:left="1020" w:right="20" w:hanging="503"/>
        <w:spacing w:after="0" w:line="24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products, if approved, will depend upon public perception of radiopharmaceuticals and the degree of their market acceptance by physicians, patients, healthcare payors and others in the medical community. Even if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503"/>
        <w:spacing w:after="0" w:line="282" w:lineRule="auto"/>
        <w:rPr>
          <w:sz w:val="20"/>
          <w:szCs w:val="20"/>
          <w:color w:val="auto"/>
        </w:rPr>
      </w:pPr>
      <w:r>
        <w:rPr>
          <w:rFonts w:ascii="Times New Roman" w:cs="Times New Roman" w:eastAsia="Times New Roman" w:hAnsi="Times New Roman"/>
          <w:sz w:val="18"/>
          <w:szCs w:val="18"/>
          <w:color w:val="auto"/>
        </w:rPr>
        <w:t>candidates we develop receive marketing approval by the FDA or other foreign regulatory authority, they may not achieve the level of commercial acceptance and sales experienced by approved beta-emitting therapies, Pluvicto and Lutathera.</w:t>
      </w:r>
    </w:p>
    <w:p>
      <w:pPr>
        <w:spacing w:after="0" w:line="54" w:lineRule="exact"/>
        <w:rPr>
          <w:sz w:val="20"/>
          <w:szCs w:val="20"/>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44"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is subject to extensive regulation, and the regulatory approval processes of the FDA and comparable foreign authorities are lengthy, time-consuming, and inherently unpredictable. If we are ultimately unable to obtain regulatory approval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our other current or future product candidates, on a timely basis if at all, our business will be substantially harmed.</w:t>
      </w:r>
    </w:p>
    <w:p>
      <w:pPr>
        <w:spacing w:after="0" w:line="8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build and operate our own manufacturing facility for preclinical and clinical supply needs, which will require significant resources, and we may fail to successfully establish and operate our facility, which could adversely affect our clinical trials and the commercial viability of our product candidates.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biologics and the manufacture of our product candidates is complex. Even after our planned manufacturing facility is operating, we will continue to rely on third parties to manufacture our product candidates. Our business could be harmed if those third parties fail to provide us with sufficient quantities of product supplies or product candidates, or fail to do so at acceptable quality levels or prices.</w:t>
      </w:r>
    </w:p>
    <w:p>
      <w:pPr>
        <w:spacing w:after="0" w:line="78" w:lineRule="exact"/>
        <w:rPr>
          <w:rFonts w:ascii="Times New Roman" w:cs="Times New Roman" w:eastAsia="Times New Roman" w:hAnsi="Times New Roman"/>
          <w:sz w:val="18"/>
          <w:szCs w:val="18"/>
          <w:color w:val="auto"/>
        </w:rPr>
      </w:pPr>
    </w:p>
    <w:p>
      <w:pPr>
        <w:ind w:left="503" w:hanging="503"/>
        <w:spacing w:after="0" w:line="233"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obtain a sufficient supply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or other radioisotopes to support clinical development or manufacturing at commercial scale.</w:t>
      </w:r>
    </w:p>
    <w:p>
      <w:pPr>
        <w:spacing w:after="0" w:line="98" w:lineRule="exact"/>
        <w:rPr>
          <w:rFonts w:ascii="Times New Roman" w:cs="Times New Roman" w:eastAsia="Times New Roman" w:hAnsi="Times New Roman"/>
          <w:sz w:val="18"/>
          <w:szCs w:val="18"/>
          <w:color w:val="auto"/>
        </w:rPr>
      </w:pPr>
    </w:p>
    <w:p>
      <w:pPr>
        <w:jc w:val="both"/>
        <w:ind w:left="503" w:hanging="503"/>
        <w:spacing w:after="0" w:line="23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rely on third parties to conduct our Phase 1b clinical trial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plan to rely on third parties to conduct future clinical trials. If these third parties do not properly and successfully carry out their contractual duties or meet expected deadlines, we may not be able to obtain regulatory approval of or commercialize our product candidates.</w:t>
      </w:r>
    </w:p>
    <w:p>
      <w:pPr>
        <w:spacing w:after="0" w:line="98" w:lineRule="exact"/>
        <w:rPr>
          <w:rFonts w:ascii="Times New Roman" w:cs="Times New Roman" w:eastAsia="Times New Roman" w:hAnsi="Times New Roman"/>
          <w:sz w:val="18"/>
          <w:szCs w:val="18"/>
          <w:color w:val="auto"/>
        </w:rPr>
      </w:pPr>
    </w:p>
    <w:p>
      <w:pPr>
        <w:ind w:left="503" w:hanging="503"/>
        <w:spacing w:after="0" w:line="24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do not own or expect to own any issued patents relating to the radioactive payload,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used in our product candidates,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w:t>
      </w:r>
    </w:p>
    <w:p>
      <w:pPr>
        <w:spacing w:after="0" w:line="2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obtain, maintain, enforce, defend and protect our intellectual property and our proprietary technologies, and conduct our business without infringing, misappropriating or otherwise violating intellectual property or proprietary rights of others.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or may decline regardless of our operating performance, resulting in substantial losses for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1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16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420" w:type="dxa"/>
            <w:vAlign w:val="bottom"/>
            <w:gridSpan w:val="2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28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7"/>
                <w:szCs w:val="17"/>
                <w:color w:val="auto"/>
              </w:rPr>
            </w:pPr>
          </w:p>
        </w:tc>
        <w:tc>
          <w:tcPr>
            <w:tcW w:w="482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40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86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0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8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7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17"/>
                <w:szCs w:val="17"/>
                <w:color w:val="auto"/>
              </w:rPr>
            </w:pPr>
          </w:p>
        </w:tc>
        <w:tc>
          <w:tcPr>
            <w:tcW w:w="628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3235960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 clinical-stage oncology company focused on expanding the breakthrough potential of targeted radiopharmaceuticals to large patient populations, including those not addressed by existing platform technologies. The field of targeted radiopharmaceuticals is currently led by two marketed products that illustrated transformative survival outcomes and quality of life benefits can be conferred by delivering radioisotopes to solid tumors. These leading products, which target prostate specific membrane antigen or somatostatin-2 receptor, are each currently approved in only one tumor type, yet have seen considerable commercial uptake and have become fundamental pillars of cancer treatment. Despite these advances, we believe that the field of radiopharmaceuticals is still in its infancy, with many emerging companies still primarily focused on these same two targets. In contrast, we see a significant opportunity to broaden the cancer patient populations benefiting from targeted radiopharmaceuticals by developing next-generation technologies that expand the scope of tumor targets for which it is possible to safely deliver a powerful payload of an alpha-emitting radioisotope. To ensure patient demand is reliably met, we are also establishing efficient end-to-end supply, with a combination of critical internal capabilities paired with established external vendors. Through these efforts, we seek to maximize clinical utility across multiple indications in multiple tumor types, and to expand the commercial uptake of radiopharmaceuticals beyond the traditional nuclear medicine setting and into the more expansive clinical oncology setting.</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built a proprietary miniprotein radioconjugate platform that aims to safely confer breakthrough efficacy to a broad range of patient populations. Our miniprotein radioconjugates are designed to selectively deliver the tumor-killing properties of radioisotopes to targeted tumors with high tumor penetration and prolonged tumor retention, while being rapidly cleared from normal organs and tissues to minimize systemic radiation exposure. Our miniproteins have demonstrated the ability to potently bind to tumor targets outside the scope of current delivery technologies such as peptide-based radioconjugates. We are leveraging the capabilities of our platform technology, together with our expertise and know-how in radiopharmaceutical development, supply chain and manufacturing, to address these challenges with the aim of advancing a deep pipeline of programs against a broad range of tumor targets that have not been successfully targeted with radiopharmaceuticals.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platform capabilities have generated a pipeline of several novel product candidates. Our most advanced program is a radiopharmaceutical targeting Nectin-4. It is a miniprotein radioconjugate with multi-indication potential across multiple tumor types, in clinical development for the treatment of locally advanced or metastatic urothelial cancer, or UC, and multiple other Nectin-4 expressing solid tumor types. The learnings from the optimization of our Nectin-4 program, the first miniprotein radioconjugate ever advanced into human investigational studies, are being applied to benefit the development of our robust pipeline of several other unpartnered miniprotein radioconjugate programs, which are designed to address other clinically-validated targets.</w:t>
      </w:r>
    </w:p>
    <w:p>
      <w:pPr>
        <w:spacing w:after="0" w:line="86" w:lineRule="exact"/>
        <w:rPr>
          <w:sz w:val="20"/>
          <w:szCs w:val="20"/>
          <w:color w:val="auto"/>
        </w:rPr>
      </w:pPr>
    </w:p>
    <w:p>
      <w:pPr>
        <w:jc w:val="both"/>
        <w:ind w:firstLine="374"/>
        <w:spacing w:after="0" w:line="226" w:lineRule="auto"/>
        <w:rPr>
          <w:sz w:val="20"/>
          <w:szCs w:val="20"/>
          <w:color w:val="auto"/>
        </w:rPr>
      </w:pPr>
      <w:r>
        <w:rPr>
          <w:rFonts w:ascii="Times New Roman" w:cs="Times New Roman" w:eastAsia="Times New Roman" w:hAnsi="Times New Roman"/>
          <w:sz w:val="18"/>
          <w:szCs w:val="18"/>
          <w:color w:val="auto"/>
        </w:rPr>
        <w:t>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contains a miniprotein, AKY-1189, that specifically binds to Nectin-4, and is conjugated via chelation to actinium-225,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is an alpha-emitting radioisotope that when conjugated to a prostate specific membrane antigen, or PSMA, binding peptide has been shown to confer increased anticancer activity in the post-chemotherapy setting of metastatic castration-resistant prostate cancer compared to an identical PSMA binding peptide with beta-emitting Lutetium-177, or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 Nectin-4 is a surface protein found on a wide variety of tumors and has very limited expression in normal adult tissues. Nectin-4 is also the target of Padcev, an antibody-drug conjugate, or ADC, approved worldwide for the treatment of locally advanced or metastatic UC. Padcev has an annualized treatment cost of approximately $500,000 and had worldwide sales of $1.9 billion in 2024, with estimated peak sales of up to $7.0 billion.</w:t>
      </w:r>
    </w:p>
    <w:p>
      <w:pPr>
        <w:spacing w:after="0" w:line="94"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18"/>
          <w:szCs w:val="18"/>
          <w:color w:val="auto"/>
        </w:rPr>
        <w:t>Despite the commercial success of Padcev, its impact beyond UC has been limited likely due to the need to develop a companion diagnostic for tissue testing when utilizing an ADC. In contrast, we intend to use imaging radioisotopes conjugated to AKY-1189 to select patients most likely to benefit from therapeutic treatment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believe the commercial impact of Padcev validates Nectin-4 as an anticancer target in UC and that significant unmet medical need exists for our lead product candidate in post-Padcev UC. Additionally, we see potential to treat several non-UC Nectin-4-expressing tumor types such as breast cancers and lung cancers. We believe that the therapeutic potential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across multiple tumor types is supported by our preclinical studies and data collected by a third-party physician in South Africa pursuant to Section 21 of the Medicines and Related Substances Act, or MRSA, which demonstrated the ability of radiolabeled AKY-1189 to specifically localize to Nectin-4 expressing tumors and rapidly clear from normal organs and tissues. In April 2025, the U.S. Food and Drug Administration, or the FDA, cleared our investigational new drug, or IND, application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locally advanced or metastatic UC and other Nectin-4 expressing tumors. We have commenced a multi-site Phase 1b clinical trial in the United States and anticipate preliminary results from the Part-1 dose escalation portion of this trial in the first quarter of 2027.</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 xml:space="preserve">To overcome the manufacturing challenges and supply chain reliability issues that have historically hindered the development and commercialization of radiopharmaceuticals, we are focused on investing in manufacturing and ensuring supply chain continuity and reliability. We have built significant internal capabilities, including subject matter expertise for our product manufacturing processes and a state-of-the-art radiopharmaceutical development suite. Additionally, we have partnered with multiple domestic and international isotope suppliers that provides us priority access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and with multiple contract manufacturers for the production of our drug product, which collectively are designed to create redundancies across all components of our supply chain. We are also establishing our own current good manufacturing practice, or cGMP, facility to enhance flexibility, increase control, and establish a hybrid internal and external clinical supply chain. We believe our team’s expertise and experience in the development of radiopharmaceuticals will allow us to address the challenges presented by the half-life of radioactive isotopes and establish an efficient supply chain from production to patient administration.</w:t>
      </w:r>
    </w:p>
    <w:p>
      <w:pPr>
        <w:spacing w:after="0" w:line="8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believe that radiopharmaceuticals represent one of the most promising modalities for the treatment of solid tumors. Approved radiopharmaceuticals have demonstrated the ability to overcome the challenges of conventional cancer treatments and provide patients with targeted therapies that have superior efficacy and better tolerability. We believe our approach is validated by, and builds upon, the clinical and commercial success of current radiopharmaceuticals and that our approach has the potential to further transform the cancer treatment paradigm for large patient populations.</w:t>
      </w:r>
    </w:p>
    <w:p>
      <w:pPr>
        <w:spacing w:after="0" w:line="70" w:lineRule="exact"/>
        <w:rPr>
          <w:sz w:val="20"/>
          <w:szCs w:val="20"/>
          <w:color w:val="auto"/>
        </w:rPr>
      </w:pPr>
    </w:p>
    <w:p>
      <w:pPr>
        <w:jc w:val="both"/>
        <w:ind w:left="760" w:hanging="378"/>
        <w:spacing w:after="0" w:line="23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validation of targeted radiopharmaceuticals. </w:t>
      </w:r>
      <w:r>
        <w:rPr>
          <w:rFonts w:ascii="Times New Roman" w:cs="Times New Roman" w:eastAsia="Times New Roman" w:hAnsi="Times New Roman"/>
          <w:sz w:val="18"/>
          <w:szCs w:val="18"/>
          <w:color w:val="auto"/>
        </w:rPr>
        <w:t>Approved beta-emitting radiopharmaceuticals, Pluvicto and Lutathera, have demonstrated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statistically significant and clinically meaningful overall survival, progression-free survival and quality of life benefits in global registrational clinical trials. Early-stage clinical trials have also demonstrated that the use of alpha-emitting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radioconjugates can deliver more profound anticancer activity than beta-emitting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 xml:space="preserve">Lu conjugates in similar patient populations, and in patients whose disease has progressed on prior beta-emitting targeted therapies. These promising early clinical data have led to the advancement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Ac-based radioconjugates to pivotal clinical trials, though none yet have filed for approval by the FDA.</w:t>
      </w:r>
    </w:p>
    <w:p>
      <w:pPr>
        <w:spacing w:after="0" w:line="90"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validation of approved radiopharmaceuticals. </w:t>
      </w:r>
      <w:r>
        <w:rPr>
          <w:rFonts w:ascii="Times New Roman" w:cs="Times New Roman" w:eastAsia="Times New Roman" w:hAnsi="Times New Roman"/>
          <w:sz w:val="18"/>
          <w:szCs w:val="18"/>
          <w:color w:val="auto"/>
        </w:rPr>
        <w:t>Pluvicto achieved a first full year of sales of approximately $1 billion,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annualized treatment cost of approximately $300,000, representing the strongest oncology commercial launch since Ibrance in 2015, which demonstrates the patient impact potential and rapid adoption of radiopharmaceuticals into clinical practice. The estimated global peak sales for Pluvicto are approximately $5.4 billion in prostate cancer alone. The global radiopharmaceuticals market is one of the fastest growing categories among anticancer medicines, and is projected to grow to over $26 billion in sales by 2032. The therapeutic segment of this market is estimated to achieve a total addressable market of $25 billion to $60 billion post-2030.</w:t>
      </w:r>
    </w:p>
    <w:p>
      <w:pPr>
        <w:spacing w:after="0" w:line="74"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validation of radiopharmaceuticals. </w:t>
      </w:r>
      <w:r>
        <w:rPr>
          <w:rFonts w:ascii="Times New Roman" w:cs="Times New Roman" w:eastAsia="Times New Roman" w:hAnsi="Times New Roman"/>
          <w:sz w:val="18"/>
          <w:szCs w:val="18"/>
          <w:color w:val="auto"/>
        </w:rPr>
        <w:t>The commercial success of radiopharmaceuticals, paired with significant increases in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innovative approaches, has led to significant value creation through partnering and acquisitions. Aggregate transaction values over the last 10 years are approximately $33 billion. Several large multinational biopharmaceutical oncology leaders have also been significantly investing in radiopharmaceutical operations globally. We believe that the continued capital investment and expansion of operations and the advancement of supply chain capabilities represent recognition of the significant medical and commercial opportunity for radiopharmaceuticals.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miniprotein radioconjugate platform</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created our proprietary miniprotein radioconjugate platform to build on the successes of currently available radiopharmaceuticals and enable the discovery of next-generation precision radiopharmaceuticals. We are leveraging our platform to discover and develop radiopharmaceutical therapies that selectively deliver the tumor-killing properties of radioisotopes to targeted tumors with high tumor penetration and prolonged retention, with the goal of enhancing the safety and tolerability profile by rapidly clearing from normal organs and tissues to minimize systemic radiation exposure. Our miniprotein radioconjugates are designed for use with either imaging isotopes to select patients expressing the target, or therapeutic isotopes to treat tumors. The radioconjugates are formed by a chelation reaction to bind the isotopes to DOTA, which is covalently linked to the tumor-targeting miniprotein. This approach will enable clinicians to first visualize and verify target tumor engagement using an imaging radioisotope, thereby identifying the patients who are most likely to benefit from our therapy.</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platform has enabled us to engineer potent, precision miniprotein-based radioconjugates that bind to the surface targets on tumor cells to localize radioisotope payloads. Miniproteins are polypeptides of less than one hundred amino acids that are amenable to biologic and medicinal chemistry optimization methods. We are prioritizing miniprotein binders of 40 to 70 amino acids in length, which are classified as biologics from a regulatory perspective providing a twelve-year exclusivity period for approved products. Miniproteins have differentiated and highly attractive properties as radioconjugates based on their antibody-like ability to potently and selectively bind to a highly diverse set of tumor targets, while having the pharmacologic profile of small peptides to enable high tumor penetration and rapid clearance from the body. We believe that miniproteins have many of the advantages of larger biologics like antibodies, as well as advantages of the smallest binders like peptides, without the limitations specific to either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class. In particular, based on our preclinical studies, we believe miniproteins have the following beneficial characteristics for use in radiopharmaceuticals:</w:t>
      </w:r>
    </w:p>
    <w:p>
      <w:pPr>
        <w:spacing w:after="0" w:line="115" w:lineRule="exact"/>
        <w:rPr>
          <w:sz w:val="20"/>
          <w:szCs w:val="20"/>
          <w:color w:val="auto"/>
        </w:rPr>
      </w:pPr>
    </w:p>
    <w:p>
      <w:pPr>
        <w:ind w:left="760" w:hanging="378"/>
        <w:spacing w:after="0" w:line="284"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anticancer activity. </w:t>
      </w:r>
      <w:r>
        <w:rPr>
          <w:rFonts w:ascii="Times New Roman" w:cs="Times New Roman" w:eastAsia="Times New Roman" w:hAnsi="Times New Roman"/>
          <w:sz w:val="18"/>
          <w:szCs w:val="18"/>
          <w:color w:val="auto"/>
        </w:rPr>
        <w:t>Tumor killing is achieved through delivery of absorbed radiation dose, which is enhanced by high tumor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penetration, high binding affinity for tumor targets, and prolonged retention of drug in the tumor.</w:t>
      </w:r>
    </w:p>
    <w:p>
      <w:pPr>
        <w:spacing w:after="0" w:line="50"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tumor penetration as compared to larger biologics. </w:t>
      </w:r>
      <w:r>
        <w:rPr>
          <w:rFonts w:ascii="Times New Roman" w:cs="Times New Roman" w:eastAsia="Times New Roman" w:hAnsi="Times New Roman"/>
          <w:sz w:val="18"/>
          <w:szCs w:val="18"/>
          <w:color w:val="auto"/>
        </w:rPr>
        <w:t>Due to their small diameters, miniproteins can achieve high tumor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penetration. In contrast, antibodies are unable to rapidly penetrate tumors to the same extent due to their much larger size.</w:t>
      </w:r>
    </w:p>
    <w:p>
      <w:pPr>
        <w:spacing w:after="0" w:line="50"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affinity for tumor targets. </w:t>
      </w:r>
      <w:r>
        <w:rPr>
          <w:rFonts w:ascii="Times New Roman" w:cs="Times New Roman" w:eastAsia="Times New Roman" w:hAnsi="Times New Roman"/>
          <w:sz w:val="18"/>
          <w:szCs w:val="18"/>
          <w:color w:val="auto"/>
        </w:rPr>
        <w:t>Increased affinity is associated with higher tumor uptake. We have reproducibly generated sub-nanomolar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affinity miniprotein binders to specific tumor targets.</w:t>
      </w:r>
    </w:p>
    <w:p>
      <w:pPr>
        <w:spacing w:after="0" w:line="50" w:lineRule="exact"/>
        <w:rPr>
          <w:rFonts w:ascii="Times New Roman" w:cs="Times New Roman" w:eastAsia="Times New Roman" w:hAnsi="Times New Roman"/>
          <w:sz w:val="18"/>
          <w:szCs w:val="18"/>
          <w:color w:val="auto"/>
        </w:rPr>
      </w:pPr>
    </w:p>
    <w:p>
      <w:pPr>
        <w:jc w:val="both"/>
        <w:ind w:left="1140" w:hanging="383"/>
        <w:spacing w:after="0" w:line="258"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Internalization into tumor cells and prolonged tumor retention</w:t>
      </w:r>
      <w:r>
        <w:rPr>
          <w:rFonts w:ascii="Times New Roman" w:cs="Times New Roman" w:eastAsia="Times New Roman" w:hAnsi="Times New Roman"/>
          <w:sz w:val="18"/>
          <w:szCs w:val="18"/>
          <w:color w:val="auto"/>
        </w:rPr>
        <w:t>. Our miniprotein radioconjugates are internalized into cancer cells,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drives prolonged retention time in tumors. In a clinical imaging assessment, AKY-1189 was measured for two days following administration and robust tumor retention was observed through the duration of the assessment. In preclinical studies in animals with significantly faster plasma clearance than humans, we measured out to three days following administration and observed robust retention of AKY-1189 in the tumor for the duration of the study.</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clearance, selectivity and kidney exposure.</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56"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clearance from the body to minimize toxicities. </w:t>
      </w:r>
      <w:r>
        <w:rPr>
          <w:rFonts w:ascii="Times New Roman" w:cs="Times New Roman" w:eastAsia="Times New Roman" w:hAnsi="Times New Roman"/>
          <w:sz w:val="18"/>
          <w:szCs w:val="18"/>
          <w:color w:val="auto"/>
        </w:rPr>
        <w:t>The most common dose-limiting toxicity for targeted radiopharmaceuticals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hematologic and bone marrow toxicity. To lower the risk of radiation exposure to bone marrow, we have designed our product candidates to have a short plasma half-life in order to be rapidly cleared through the kidney. Rapid clearance of the radioisotope payload from the body minimizes the exposure to radiation of normal organs and tissues, such as the blood, bone marrow and skin. Unlike antibodies or other large biologic radioconjugates that take days to weeks to be eliminated from circulation, miniproteins are typically eliminated from circulation within hours, thereby minimizing systemic exposure and potentially increasing the therapeutic index of our miniproteins relative to other radiopharmaceutical constructs.</w:t>
      </w:r>
    </w:p>
    <w:p>
      <w:pPr>
        <w:spacing w:after="0" w:line="74"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selectivity. </w:t>
      </w:r>
      <w:r>
        <w:rPr>
          <w:rFonts w:ascii="Times New Roman" w:cs="Times New Roman" w:eastAsia="Times New Roman" w:hAnsi="Times New Roman"/>
          <w:sz w:val="18"/>
          <w:szCs w:val="18"/>
          <w:color w:val="auto"/>
        </w:rPr>
        <w:t>Miniproteins, like antibodies, can target specific isoforms or variants of closely related protein targets and differentiate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them, resulting in higher selectivity as compared to peptides. Our product candidates have demonstrated high selectivity for their tumor targets using a well-established cell-surface array assay. We believe this selectivity will reduce the risk of off-target binding and radioactive exposure to normal organs and tissues.</w:t>
      </w:r>
    </w:p>
    <w:p>
      <w:pPr>
        <w:spacing w:after="0" w:line="71" w:lineRule="exact"/>
        <w:rPr>
          <w:rFonts w:ascii="Times New Roman" w:cs="Times New Roman" w:eastAsia="Times New Roman" w:hAnsi="Times New Roman"/>
          <w:sz w:val="18"/>
          <w:szCs w:val="18"/>
          <w:color w:val="auto"/>
        </w:rPr>
      </w:pPr>
    </w:p>
    <w:p>
      <w:pPr>
        <w:jc w:val="both"/>
        <w:ind w:left="1140" w:hanging="383"/>
        <w:spacing w:after="0" w:line="246"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kidney exposure through molecular engineering. </w:t>
      </w:r>
      <w:r>
        <w:rPr>
          <w:rFonts w:ascii="Times New Roman" w:cs="Times New Roman" w:eastAsia="Times New Roman" w:hAnsi="Times New Roman"/>
          <w:sz w:val="18"/>
          <w:szCs w:val="18"/>
          <w:color w:val="auto"/>
        </w:rPr>
        <w:t>The kidney is not only the organ that clears miniproteins from the body but it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plays the physiologic role in reabsorbing renally-cleared peptides and proteins to reclaim nutrients. We have developed proprietary capabilities and expertise to engineer our product candidates to minimize their renal reabsorption. Based on data to date, we do not expect either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to require renal protection strategies, such as pre-treatment with amino acids that are required for peptide-based radiopharmaceuticals targeting somatostatin-2 receptor, or SSTR2, such as Lutathera.</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Broader number of addressable targets as compared to peptides. </w:t>
      </w:r>
      <w:r>
        <w:rPr>
          <w:rFonts w:ascii="Times New Roman" w:cs="Times New Roman" w:eastAsia="Times New Roman" w:hAnsi="Times New Roman"/>
          <w:sz w:val="18"/>
          <w:szCs w:val="18"/>
          <w:color w:val="auto"/>
        </w:rPr>
        <w:t>Miniproteins, like antibodies, bind to targets with high affinity, which enables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highly selective and potent binding to targets through protein-protein intermolecular contacts. This allows miniproteins to bind to many, diverse protein targets, whether or not the protein target has a cleft or other structural feature commonly required for peptide binders.</w:t>
      </w:r>
    </w:p>
    <w:p>
      <w:pPr>
        <w:spacing w:after="0" w:line="6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Enables rapid advancement to development candidates. </w:t>
      </w:r>
      <w:r>
        <w:rPr>
          <w:rFonts w:ascii="Times New Roman" w:cs="Times New Roman" w:eastAsia="Times New Roman" w:hAnsi="Times New Roman"/>
          <w:sz w:val="18"/>
          <w:szCs w:val="18"/>
          <w:color w:val="auto"/>
        </w:rPr>
        <w:t>We utilize proprietary yeast surface display techniques that enable us to efficiently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screen greater than five billion miniprotein variants and select the most promising candidates for advancement. Furthermore, unlike larger biologics, we couple biological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evolution with medicinal chemistry. Medicinal chemistry utilizes solid phase peptide synthesis, which enables the rapid synthesis of miniproteins with site-specific modifications, including the incorporation of unnatural amino acids, to efficiently optimize our drug candidates to have beneficial characteristics likely to confer a strong clinical profile.</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Enables rapid advancement into first-in-human evaluation. </w:t>
      </w:r>
      <w:r>
        <w:rPr>
          <w:rFonts w:ascii="Times New Roman" w:cs="Times New Roman" w:eastAsia="Times New Roman" w:hAnsi="Times New Roman"/>
          <w:sz w:val="18"/>
          <w:szCs w:val="18"/>
          <w:color w:val="auto"/>
        </w:rPr>
        <w:t>Unlike larger biologics, which require time-consuming and expensive recombinant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by cells in culture, miniproteins allow for efficient chemical synthesis using solid phase peptide synthesis and rapid and cost-effective scale-up.</w:t>
      </w:r>
    </w:p>
    <w:p>
      <w:pPr>
        <w:spacing w:after="0" w:line="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manufacturing constraints</w:t>
      </w:r>
      <w:r>
        <w:rPr>
          <w:rFonts w:ascii="Times New Roman" w:cs="Times New Roman" w:eastAsia="Times New Roman" w:hAnsi="Times New Roman"/>
          <w:sz w:val="18"/>
          <w:szCs w:val="18"/>
          <w:color w:val="auto"/>
        </w:rPr>
        <w:t>. For each clinically-administered dose, only microgram quantities of our miniprotein are anticipated to be</w:t>
      </w:r>
    </w:p>
    <w:p>
      <w:pPr>
        <w:spacing w:after="0" w:line="29"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required. The microdose quantities allow for small gram-scale batches of our miniprotein to be efficiently produced at contract manufacturers to enable development through first-in-human studies in contrast to other approved peptide drugs that require kilogram-scale batches.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strengthen our miniprotein discovery workflow by incorporating artificial intelligence, or AI, technologies. We use various AI tools to help us select the best radiopharmaceutical biological targets, generate miniprotein libraries based on naturally evolved protein domains, design new miniprotein structures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using generative AI, and support our optimization efforts using machine learning models that are trained on our proprietary data. We can uniquely couple these state-of-the-art AI approaches with our wet-lab capabilities and our acquired expertise in discovery and optimization of miniprotein binders.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Manufacturing challenges and ensuring supply chain continuity and reliability have historically hindered the development and commercialization of radiopharmaceuticals. To overcome these challenges, we have established manufacturing and supply chain capabilities that are designed to be reliable and capital efficient with the ability to scale to meet global commercial demand for large cancer patient populations. Our end-to-end supply chain capabilities are orchestrated by our seasoned radiopharmaceutical development and manufacturing team that has experience advancing radiopharmaceutical programs from preclinical to commercialization. We have a state-of-the-art radiopharmaceutical development suite to apply our proprietary insights into process, formulation, and product development for preclinical, first-in-human, clinical trial, and commercial manufacturing and supply.</w:t>
      </w:r>
    </w:p>
    <w:p>
      <w:pPr>
        <w:spacing w:after="0" w:line="79" w:lineRule="exact"/>
        <w:rPr>
          <w:sz w:val="20"/>
          <w:szCs w:val="20"/>
          <w:color w:val="auto"/>
        </w:rPr>
      </w:pPr>
    </w:p>
    <w:p>
      <w:pPr>
        <w:jc w:val="both"/>
        <w:ind w:firstLine="374"/>
        <w:spacing w:after="0" w:line="275" w:lineRule="auto"/>
        <w:rPr>
          <w:sz w:val="20"/>
          <w:szCs w:val="20"/>
          <w:color w:val="auto"/>
        </w:rPr>
      </w:pPr>
      <w:r>
        <w:rPr>
          <w:rFonts w:ascii="Times New Roman" w:cs="Times New Roman" w:eastAsia="Times New Roman" w:hAnsi="Times New Roman"/>
          <w:sz w:val="18"/>
          <w:szCs w:val="18"/>
          <w:color w:val="auto"/>
        </w:rPr>
        <w:t xml:space="preserve">In addition, we have multiple domestic and international isotope supply agreements spanning therapeutic and diagnostic uses, including agreements with NorthStar Medical Technologies, LLC, TerraPower Isotopes, LLC and Niowave, Inc., among others, with priority access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w:t>
      </w: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 xml:space="preserve">We have partnered with leading contract manufacturing organizations to facilitate reliable and efficient supply, including co-located drug product manufacturing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and </w:t>
      </w:r>
      <w:r>
        <w:rPr>
          <w:rFonts w:ascii="Times New Roman" w:cs="Times New Roman" w:eastAsia="Times New Roman" w:hAnsi="Times New Roman"/>
          <w:sz w:val="24"/>
          <w:szCs w:val="24"/>
          <w:color w:val="auto"/>
          <w:vertAlign w:val="superscript"/>
        </w:rPr>
        <w:t>64</w:t>
      </w:r>
      <w:r>
        <w:rPr>
          <w:rFonts w:ascii="Times New Roman" w:cs="Times New Roman" w:eastAsia="Times New Roman" w:hAnsi="Times New Roman"/>
          <w:sz w:val="18"/>
          <w:szCs w:val="18"/>
          <w:color w:val="auto"/>
        </w:rPr>
        <w:t>Cu production to reduce costs, improve product turnaround time, and ease supply logistics, for our proprietary targeted miniprotein radiopharmaceutical precursors and products. Leveraging this network of partners, we are currently manufacturing drug product for our clinical trial. Additionally, we are building an internal cGMP radiopharmaceutical facility to enhance flexibility, increase control, and establish a hybrid internal and external clinical supply chain of our product candidates. We expect our manufacturing facility to be fully operational in the second half of 2026. As we grow our organization, we are continuing to evaluate options for internal commercial manufacturing to complement our network of commercial contract manufacturers.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We are leveraging our proprietary miniprotein radioconjugate platform to discover and develop a deep pipeline of targeted radiopharmaceutical programs to address unmet needs in prevalent solid tumors. Our most advanced program,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is targeting Nectin-4 expressing solid tumors, including locally advanced or metastatic UC, breast cancer, NSCLC, colorectal cancer and cervical cancer. Our second most advanced program,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is targeting B7-H3 expressing solid tumors, such as prostate, lung and breast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85725</wp:posOffset>
            </wp:positionV>
            <wp:extent cx="5631815" cy="168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3181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74"/>
        <w:spacing w:after="0" w:line="218" w:lineRule="auto"/>
        <w:rPr>
          <w:sz w:val="20"/>
          <w:szCs w:val="20"/>
          <w:color w:val="auto"/>
        </w:rPr>
      </w:pPr>
      <w:r>
        <w:rPr>
          <w:rFonts w:ascii="Times New Roman" w:cs="Times New Roman" w:eastAsia="Times New Roman" w:hAnsi="Times New Roman"/>
          <w:sz w:val="18"/>
          <w:szCs w:val="18"/>
          <w:color w:val="auto"/>
        </w:rPr>
        <w:t>Beyond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we have a robust discovery pipeline of several unpartnered miniprotein radioconjugate programs in the discovery phase that focus on clinically-validated targets. Our learnings from the optimization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are being applied to benefit the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and these subsequent programs. We retain exclusive, worldwide development and commercialization rights to all our current product candidates and discovery programs. We also have a discovery collaboration with Eli Lilly and Company, or Eli Lilly, to generate novel anticancer radiopharmaceuticals against targets beyond the scope of our unpartnered pipeline programs.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targeting Nectin-4 expressing tumors</w:t>
      </w:r>
    </w:p>
    <w:p>
      <w:pPr>
        <w:spacing w:after="0" w:line="6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was generated using our miniprotein radioconjugate platform and is designed to deliver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 highly potent alpha-emitting radioisotope, to Nectin-4 expressing tumors. Nectin-4 is a cell-surface protein found on a wide variety of tumors and has very limited expression in normal adult tissues. Nectin-4 is also the target of enfortumab vedotin, or Padcev, an approved ADC for the treatment of locally advanced and metastatic UC. Although Padcev has validated Nectin-4 as an oncology target, there has been limited clinical development activity to design other therapeutics targeting other Nectin-4 expressing tumors, which may be due to the need to develop a companion diagnostic for tissue testing when utilizing an ADC. In contrast, we intend to use imaging radioisotopes conjugated to AKY-1189 to readily select patients most likely to benefit from therapeutic treatment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w:t>
      </w:r>
    </w:p>
    <w:p>
      <w:pPr>
        <w:spacing w:after="0" w:line="14"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 xml:space="preserve">We believe AKY-1189, when conjugated to a radioisotope, has the potential to treat UC as well as other Nectin-4 expressing tumors by selectively delivering cytotoxic radioisotopes such as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to Nectin-4 expressing tumors to kill the tumor. AKY-1189’s short plasma half-life is designed to limit its radiation exposure to sensitive organs like bone marrow. We have also specifically designed AKY-1189 to minimize reabsorption by the kidneys to avoid potential toxicity concerns associated with renally-cleared radiopharmaceuticals.</w:t>
      </w:r>
    </w:p>
    <w:p>
      <w:pPr>
        <w:spacing w:after="0" w:line="99" w:lineRule="exact"/>
        <w:rPr>
          <w:sz w:val="20"/>
          <w:szCs w:val="20"/>
          <w:color w:val="auto"/>
        </w:rPr>
      </w:pPr>
    </w:p>
    <w:p>
      <w:pPr>
        <w:jc w:val="both"/>
        <w:ind w:firstLine="374"/>
        <w:spacing w:after="0" w:line="231" w:lineRule="auto"/>
        <w:rPr>
          <w:sz w:val="20"/>
          <w:szCs w:val="20"/>
          <w:color w:val="auto"/>
        </w:rPr>
      </w:pPr>
      <w:r>
        <w:rPr>
          <w:rFonts w:ascii="Times New Roman" w:cs="Times New Roman" w:eastAsia="Times New Roman" w:hAnsi="Times New Roman"/>
          <w:sz w:val="18"/>
          <w:szCs w:val="18"/>
          <w:color w:val="auto"/>
        </w:rPr>
        <w:t>In our preclinical studies,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has demonstrated antitumor activity and increased overall survival in animals inoculated with Nectin-4 expressing cancer cell xenografts. It also demonstrated a compelling biodistribution profile, with low absorbed doses observed outside of the tumor, which supports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Ac]Ac-AKY-1189’s potential to widen the therapeutic window. Furthermore, the Section 21 data included clinical imaging and dosimetry data from radioactive imaging radioisotope conjugates of AKY-1189,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Lu]Lu-AKY-1189, which enabled assessment of tumor uptake and retention in 15 patients with solid tumors known to have high Nectin-4 expression, including UC, breast cancer, NSCLC, colorectal cancer and cervical cancer. In this assessment, AKY-1189 was observed to specifically localize and be retained in all tumor types examined, while being rapidly cleared from normal organs and tissues, including the kidney, with no adverse events observed. In this assessment, we also observed tumor uptake and retention at levels we expect to be sufficient to drive efficacious responses, based on similar measurements to those of leading marketed radiopharmaceuticals.</w:t>
      </w:r>
    </w:p>
    <w:p>
      <w:pPr>
        <w:spacing w:after="0" w:line="93"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18"/>
          <w:szCs w:val="18"/>
          <w:color w:val="auto"/>
        </w:rPr>
        <w:t>We have commenced a multi-site Phase 1b trial in the United States for the treatment of locally advanced or metastatic UC and other Nectin-4 expressing tumors and anticipate preliminary results from the Part-1 dose escalation portion of this trial in the first quarter of 2027. An imaging radioisotope is being used to directly assess tumor binding by AKY-1189 and identify patients most likely to respond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with the aim of delivering early clinical therapeutic signals across multiple Nectin-4 expressing tumor types. Patients determined to be Nectin-4 positive will move to the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dose-escalation portion of the trial. That phase of the study will investigate increasing doses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Following completion of each dose level, safety of the drug will be assessed by a safety review committee and, if deemed safe, enrollment of the next higher dose level will commence. In December 2025, we disclosed that we had completed the first dose level of the Part 1 dose escalation of the Phase 1b clinical trial and had commenced enrollment of the next dose level. Enrollment in the trial remains on track, and we expect to present data from the Part 1 dose escalation in the first quarter of 2027. Upon completion of the dose escalation portion, a dose expansion portion will be conducted in patients with locally advanced or metastatic UC and other Nectin-4 expressing tumors.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was granted Fast Track Designation by the FDA in February 2026 for the treatment of locally advanced or metastatic UC in patients who had progressed on or after prior systemic therapies.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Ac]Ac-AKY-2519 targeting B7-H3 expressing tumors</w:t>
      </w:r>
    </w:p>
    <w:p>
      <w:pPr>
        <w:spacing w:after="0" w:line="6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Our second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Ac]Ac-AKY-2519, is designed to deliver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to B7-H3 (CD276) expressing tumors, including prostate, lung and other solid tumors. B7-H3 is a cell-surface protein that is highly expressed in many types of solid tumors, while having limited expression in normal tissues. We estimate that approximately 90% of all metastatic castration-resistant prostate cancers, 80% of NSCLCs and 70% of small cell lung cancers, express B7-H3, while also being expressed on other solid tumors like breast cancers. High expression of B7-H3 has been associated with poor overall survival outcomes and a lack of responsiveness to anti-PD-1 therapeutics in several tumor types. B7-H3 has attracted substantial clinical development efforts across different modalities, including ADCs, with several late-stage ADCs demonstrating preliminary efficacy signals and acceptable safety profiles. Regarding the potential for B7-H3 as a target in prostate cancer, we believe B7-H3 to be differentiated from PSMA for imaging and treatment due to its high tumor expression and limited expression in normal organs and tissues, such as kidneys and salivary glands.</w:t>
      </w:r>
    </w:p>
    <w:p>
      <w:pPr>
        <w:spacing w:after="0" w:line="96"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8"/>
          <w:szCs w:val="18"/>
          <w:color w:val="auto"/>
        </w:rPr>
        <w:t>In our preclinical studies,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has demonstrated robust antitumor activity and increased overall survival in mice inoculated with B7-H3 expressing cancer cell xenografts. It also demonstrated a compelling biodistribution profile, with low absorbed doses observed outside of the tumor.</w:t>
      </w:r>
    </w:p>
    <w:p>
      <w:pPr>
        <w:spacing w:after="0" w:line="97" w:lineRule="exact"/>
        <w:rPr>
          <w:sz w:val="20"/>
          <w:szCs w:val="20"/>
          <w:color w:val="auto"/>
        </w:rPr>
      </w:pPr>
    </w:p>
    <w:p>
      <w:pPr>
        <w:jc w:val="both"/>
        <w:ind w:firstLine="374"/>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Ga]Ga-AKY-2519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Lu]Lu-AKY-2519 uptake in tumors and normal tissue biodistribution is currently being assessed in patients with various B7-H3 expressing solid tumors. To date, each of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Ga]Ga-AKY-2519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Lu]Lu-AKY-2519 has demonstrated robust tumor uptake with low uptake in normal tissues and a differentiated biodistribution profile, showcasing rapid clearance from normal organ and tissues, including kidneys. We expect the results of the imaging and dosimetry assessment in patients with various tumor types to be reported in mid-2026. In March 2026, our INDs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and for [</w:t>
      </w:r>
      <w:r>
        <w:rPr>
          <w:rFonts w:ascii="Times New Roman" w:cs="Times New Roman" w:eastAsia="Times New Roman" w:hAnsi="Times New Roman"/>
          <w:sz w:val="24"/>
          <w:szCs w:val="24"/>
          <w:color w:val="auto"/>
          <w:vertAlign w:val="superscript"/>
        </w:rPr>
        <w:t>64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Cu]Cu-AKY-2519 were cleared by the FDA to proceed to a Phase 1b clinical trial. We expect to initiate the multi-site Phase 1b clinical trial mid-2026.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collaboration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May 2024, we entered into a discovery collaboration with Eli Lilly to leverage our proprietary miniprotein radioconjugate platform to generate novel anticancer radiopharmaceuticals against targets beyond the scope of our unpartnered pipeline programs. We received a $60.0 million upfront cash payment in addition to an equity investment and are eligible to receive up to an additional $1.2 billion upon achievement of preclinical, clinical, regulatory, and commercial milestones, as well as tiered royalties. We are responsible for program discovery of a defined set of targets selected by Eli Lilly through initial human imaging studies and Eli Lilly is responsible for worldwide clinical development and commercialization from Phase 1 clinical trials onward. We retain worldwide rights to our proprietary pipeline programs, including our lead Nectin-4 targeting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have assembled an experienced management team with deep expertise in drug development, approval, and commercialization, with members of our management being involved in the approval and commercialization of 14 currently marketed FDA-approved products. Our team is led by executives who have significant experience in company-building in the biopharmaceutical industry and a shared vision to build a leading radiopharmaceutical company. The experience of our President and Chief Executive Officer, Matthew Roden, PhD, in the biopharmaceutical industry includes leadership positions in corporate strategy and business development at Bristol Myers Squibb, and senior equity research coverage of the biotechnology sector at J.P. Morgan and UBS. He also serves as an Entrepreneur Partner at MPM BioImpact and on the Boards of Directors of other biotechnology companies. Our Chief Financial Officer, Kyle D. Kuvalanka, brings over 20 years of experience as a senior leader in the biopharmaceutical industry, having served in executive leadership roles at ROME Therapeutics, Syros Pharmaceuticals, Blueprint Medicines and Goldfinch Bio. Paul L. Feldman, PhD, our Chief Scientific Officer, was Co-founder and Chief Executive Officer of Phoundry Pharmaceuticals and, upon its acquisition by Intarcia Therapeutics, served as Head of Discovery and Translational Medicine at Intarcia. In his previous roles at GlaxoSmithKline, he was directly involved in the discovery of five approved drugs. Shulamit Ron-Bigger, PhD, our Chief Operating Officer, previously served as Head of Strategy and Operations for the Research and Early Development organization at Bristol Myers Squibb. Akos Czibere, MD, PhD, our Chief Medical Officer, has extensive experience in clinical development, most recently serving as Therapeutic Area Development Head of Hematology-Oncology at Pfizer. Dr. Czibere has been directly involved in the approval of six oncology drugs, including Elrexfio and Talzenna. Tyler Benedum, PhD, our Chief Technical Officer, previously served as Vice President of Chemistry, Manufacturing, and Controls Development at Avid Radiopharmaceuticals, a wholly-owned subsidiary of Eli Lilly, where he oversaw global commercial and clinical trial radiopharmaceutical manufacturing and played a key role in developing and advancing Amyvid and Tauvid through marketing authorization approval and commercialization.</w:t>
      </w:r>
    </w:p>
    <w:p>
      <w:pPr>
        <w:spacing w:after="0" w:line="8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company was co-founded by Todd Foley, a Managing Director at MPM BioImpact, who is currently Chair of our Board of Directors; Patrick Baeuerle, PhD, an MPM BioImpact Advisor, and currently a member of our Scientific Advisory Board; and Brian Goodman, PhD, a Partner at Vida Ventures.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Expanding the potential of radiopharmaceuticals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the field of radiopharmaceuticals is still in its infancy and is poised to become a fundamental pillar of cancer care and deliver transformative survival and quality of life outcomes for patients. External beam radiation therapy, or EBRT, has proven to be an effective option for cancer treatment but has limitations including lack of sufficient precision to avoid collateral damage to normal organs and tissues. Radiopharmaceuticals have the ability to deliver high levels of radiation directly and precisely to diseased tissue by combining the proven tumor-killing ability of radiation therapy with the high degree of molecular precision provided by their targeting components, offering cancer patients better outcomes than other anticancer modalities.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Several radiopharmaceutical drugs have been developed and commercialized in an expanding field, demonstrating the significant market potential of radiopharmaceuticals. Commercial adoption of Pluvicto and Lutathera, along with expanding operational and commercial infrastructure, positions radiopharmaceuticals as the next emerging modality. To date, the development of radiopharmaceutical candidates has been primarily focused on two biological targets: PSMA, the target of Pluvicto; and SSTR2, the target of Lutathera. Our company was founded with the aim of maximizing the impact of radiopharmaceuticals by bringing excellence to all aspects of radiopharmaceutical drug development, by discovering therapeutic candidates that broaden the set of targets and tumors that are addressed by radiopharmaceuticals. As a result, none of our programs target PSMA or SSTR2. We instead focus on leveraging our miniprotein radioconjugate platform to a broader set of addressable targets such as Nectin-4 and B7-H3, which are expressed in tumor types such as lung, breast, bladder, prostate and gastrointestinal tumors, and collectively account for an estimated 193,000 and 215,000 incident cases per year, respectively.</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Radioisotopes used in radiopharmaceuticals fall into two classes: alpha-emitting and beta-emitting radioisotopes. Alpha particles are much larger and heavier than beta particles, with higher energy and shorter travel distances. Although both alpha-emitting and beta-emitting radioisotopes cause damage to the DNA of tumor cells resulting in tumor cell death, there are distinct differences. Beta-emitting radioisotopes create single-strand DNA breaks and can travel to more distant cells not in direct contact with the delivery point of the radiopharmaceutical. In contrast, alpha-emitting radioisotopes create catastrophic double-stranded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DNA breaks and are 1,000 times more potent in cell killing than beta-emitters but can only travel two to three cell lengths. Radiopharmaceuticals using alpha-emitting radioisotopes also offer advantages with administration as they result in less radiation exposure to the clinic staff during administration, as well as convenience to patients with no post-treatment restrictions on having contact with other people.</w:t>
      </w:r>
    </w:p>
    <w:p>
      <w:pPr>
        <w:spacing w:after="0" w:line="68" w:lineRule="exact"/>
        <w:rPr>
          <w:sz w:val="20"/>
          <w:szCs w:val="20"/>
          <w:color w:val="auto"/>
        </w:rPr>
      </w:pPr>
    </w:p>
    <w:p>
      <w:pPr>
        <w:jc w:val="both"/>
        <w:ind w:firstLine="374"/>
        <w:spacing w:after="0" w:line="228" w:lineRule="auto"/>
        <w:rPr>
          <w:sz w:val="20"/>
          <w:szCs w:val="20"/>
          <w:color w:val="auto"/>
        </w:rPr>
      </w:pPr>
      <w:r>
        <w:rPr>
          <w:rFonts w:ascii="Times New Roman" w:cs="Times New Roman" w:eastAsia="Times New Roman" w:hAnsi="Times New Roman"/>
          <w:sz w:val="18"/>
          <w:szCs w:val="18"/>
          <w:color w:val="auto"/>
        </w:rPr>
        <w:t xml:space="preserve">In third-party studies, alpha-emitting radioconjugates have also demonstrated increased anticancer activity in patients with tumors that did not respond to beta-emitting radioconjugates. As seen in the graphic below, a patient with widespread metastatic disease was observed to have progressive disease following treatment with two cycles of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 xml:space="preserve">Lu-PSMA-617. Subsequent treatment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Ac-PSMA-617 resulted in profound regression of disease. Objective response rates of over 30% have been observed in academic trials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Ac-PSMA-617, and a recent company-sponsored trial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Ac-containing PSMA-617 radioligand showed a 43% response rate in patients previously treated with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 xml:space="preserve">Lu-containing PSMA-617 radioligand therapies. These results illustrate the powerful efficacy potential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Ac-containing targeted radioconjugates.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Anticancer activity of alpha-emitting radioconjugates in patients with tumors that did not respond to beta-emitting radioconjugates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2417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believe alpha radioconjugates represent a significant opportunity for improved clinical outcomes for patients with cancer. Due to the inherent advantages and breakthrough efficacy potential, we are initially focused on alpha-emitting radioisotopes. However, our miniprotein radioconjugates have the ability to deliver both alpha-emitting and beta-emitting radioisotopes, which we believe expands the potential impact and tumor treatment options available for our radiopharmaceuticals.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miniprotein radioconjugate platform</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were founded to improve outcomes for cancer patients by pioneering a new class of targeted radiopharmaceuticals to unlock the benefit of the modality for prevalent tumor types that have historically been beyond the reach of radiopharmaceuticals. Our ability to leverage the killing power of a radioconjugate provides significant opportunity for discovering targeted radiopharmaceuticals with the potential to transform the cancer treatment paradigm for patients with a broad set of tumor types. Our aim is to discover targeting molecules that can bind with high affinity and prolonged duration on cancer cells to maximize efficacy, while having high selectivity and short residence time in the rest of the body to avoid toxicity to normal organs and tissues.</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founders created our company with a focus on a category of polypeptides, referred to as miniproteins. Miniproteins consist of manifold scaffolds of less than one hundred amino acids in length that fold into a stable tertiary structure, making them larger than small peptides but smaller than large biologics. Similar to larger biologics, such as antibodies, miniproteins possess the ability to recognize and bind with high selectivity to a highly diverse set of tumor targets, but lack some of the known radiopharmaceutical property limitations of antibodies, including long circulating half-life and poor tumor uptake. Miniproteins also share some of the pharmacological profile advantages of small peptides such as high tumor penetration and short plasma half-life. However, miniproteins are able to bind to, and exhibit high selectivity for, tumor targets that are less tractable with smaller peptides. We believe miniproteins possess pharmacological properties that make them ideal targeting molecules for radiopharmaceutical product development, since they retain the advantages of large biologics and smaller peptides without the limitations specific to either class. We are focused on the discovery of novel miniproteins that are 40 to 70 amino acids in length, which categorizes them as biologics from a regulatory perspective, providing a twelve-year exclusivity period for approved products.</w:t>
      </w:r>
    </w:p>
    <w:p>
      <w:pPr>
        <w:spacing w:after="0" w:line="86"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Our miniprotein radioconjugates offer both the potential for both potent antitumor activity and an enhanced safety and tolerability profile. The small size of miniproteins allows them to rapidly penetrate tumors. Furthermore, our miniprotein radioconjugates are able to internalize into cancer cells, which we believe drives prolonged retention. We have reproducibly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generated high affinity miniprotein binders to specific tumor targets. Tumor killing is achieved through delivery of absorbed radiation dose, which is enhanced by high tumor penetration, high binding affinity for tumor targets, and prolonged retention of drug in the tumor.</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Two of the major concerns for toxicity with radiopharmaceuticals are renal damage due to radiation exposure in the kidney and hematological toxicity due to bone marrow exposure. The short plasma half-lives of miniproteins results in rapid clearance through the kidneys, limiting the overall radiation exposure of normal organs and tissues, such as the blood, bone marrow and skin, while the high target selectivity of our miniproteins further reduces off-target binding and exposure risk. We have built on this beneficial profile and engineered our product candidates to minimize their renal reabsorption using primary sequence modifications. Our lead optimization efforts have resulted in decreases in renal retention and increases in tumor uptake, which attributes are predicted to widen the therapeutic index of our product candidates relative to other radiopharmaceutical constructs.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miniprotein platform is designed to broaden the number of tumor targets addressable by radiopharmaceuticals. Our miniproteins bind to targets with high affinity, which enables highly selective and potent binding to targets through protein-protein intermolecular contacts and allows them to potentially bind to many protein targets, whether or not it has a cleft or other structural feature commonly required for peptide binders.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platform enables rapid advancement to product candidate and first-in-human evaluation. Miniproteins can be synthesized using solid phase peptide synthesis. This allows the evaluation of a large number of variants and enables the establishment of rich structure-activity relationships and site-specific modifications, including the incorporation of unnatural amino acids, to optimize for the desired drug-like properties.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proprietary miniprotein radioconjugate platform uniquely combines the following non-exhaustive list of technologies we use during our discovery process:</w:t>
      </w:r>
    </w:p>
    <w:p>
      <w:pPr>
        <w:spacing w:after="0" w:line="54"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proprietary libraries of greater than 100 miniprotein scaffolds that enable yeast surface display selections of approximately five billion variants;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machine-learning based design and optimization of miniprotein variants;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biological assays to rapidly assess our miniprotein radioconjugate candidates;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medicinal chemistry enabling site-specific incorporation of proprietary unnatural amino acids into our miniprotein radioconjugates to optimize pharmacological properties.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routinely apply our platform to rapidly generate and optimize miniprotein binders to tumor cell targets, not only selecting for product candidates that bind to their targets with high selectivity and affinity, but also optimizing for other properties that we believe will increase their potential as high-value therapeutics. As illustrated below, this iterative process to optimize miniproteins utilizes computational design with biological evolution and medicinal chemistry.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Iterative process optimizing miniprotein discovery combines computational design, biological evolution and medicinal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173990</wp:posOffset>
            </wp:positionV>
            <wp:extent cx="5957570" cy="1551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5757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Learnings from our Nectin-4 program and discovery programs have enabled additional technological advancements to be incorporated into subsequent programs, including our B7H3 program, to enhance our miniprotein radioconjugate platform and efficiently advance novel radiopharmaceutical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Enhancing our discovery efforts by utilizing AI</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AI, and its sub-categories of machine learning, deep learning, generative AI, and expert systems, are making a significant impact in the pharmaceutical industry and spawning many new companies and technologies. We have been utilizing AI to advance our miniprotein discovery and development over the past several years. Our reliance on AI has increased with advancement of AI tools, especially with accumulation of experimental data that informs AI models. Within discovery, we use AI tools to help us select radiopharmaceutical biological targets, generate miniprotein libraries based on naturally evolved protein domains, and design new</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miniprotein structures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using generative AI. In addition, we apply machine learning to critical experimental datasets and use structure-based modeling to support optimization of our miniprotein binders.</w:t>
      </w:r>
    </w:p>
    <w:p>
      <w:pPr>
        <w:spacing w:after="0" w:line="5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Recent advances in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design software have been used to design small-molecule, peptide, macrocycle, and antibody binders to proteins. More recently, this software has been adapted and modified by us and others to design miniprotein binders to biological targets. We can uniquely couple these state-of-the-art AI approaches with our wet-lab capabilities and our acquired expertise in discovery and optimization of miniprotein binders.</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utilize AI tools throughout the entire process of advancing our radiopharmaceutical pipeline. In particular, we apply AI technology and yeast surface display to discover miniprotein binders to targets of interest in two ways: (1) to re-engineer naturally evolved protein-domain folds into libraries with hundreds of millions of variants each, from which target-binding miniproteins are captured by yeast surface display, and (2) to design novel miniproteins specifically for binding to biological targets of interest, and to use yeast surface display to identify the most successful designs.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to our internal work using and advancing AI tools, we continue to assess potential third-party partners who are using AI tools, in order to further advance our specific discovery capabilities.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Our lead product candidate targeting Nectin-4 expressing tumors</w:t>
      </w:r>
    </w:p>
    <w:p>
      <w:pPr>
        <w:spacing w:after="0" w:line="66" w:lineRule="exact"/>
        <w:rPr>
          <w:sz w:val="20"/>
          <w:szCs w:val="20"/>
          <w:color w:val="auto"/>
        </w:rPr>
      </w:pPr>
    </w:p>
    <w:p>
      <w:pPr>
        <w:jc w:val="both"/>
        <w:ind w:firstLine="374"/>
        <w:spacing w:after="0" w:line="222" w:lineRule="auto"/>
        <w:rPr>
          <w:sz w:val="20"/>
          <w:szCs w:val="20"/>
          <w:color w:val="auto"/>
        </w:rPr>
      </w:pPr>
      <w:r>
        <w:rPr>
          <w:rFonts w:ascii="Times New Roman" w:cs="Times New Roman" w:eastAsia="Times New Roman" w:hAnsi="Times New Roman"/>
          <w:sz w:val="18"/>
          <w:szCs w:val="18"/>
          <w:color w:val="auto"/>
        </w:rPr>
        <w:t>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was discovered using our miniprotein platform and is designed to deliver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 highly potent alpha-emitting radioisotope, to Nectin-4 expressing tumors. The therapeutic potential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is supported by our preclinical studies and an investigator-initiated clinical imaging and dosimetry assessment demonstrating the ability of AKY-1189 radioconjugates to specifically localize to Nectin-4-expressing tumors and rapidly clear from normal organs and tissues. In April 2025, the FDA cleared our IND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locally advanced or metastatic UC and other Nectin-4 expressing tumors. We have commenced a multi-site Phase 1b clinical trial in the United States and anticipate preliminary results from the Part-1 dose escalation portion of this trial in the first quarter of 2027.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was granted Fast Track Designation by the FDA in February 2026 for the treatment of locally advanced or metastatic UC in patients who had progressed on or after prior systemic therapies.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Nectin-4: a clinically validated oncology target</w:t>
      </w:r>
    </w:p>
    <w:p>
      <w:pPr>
        <w:spacing w:after="0" w:line="121"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Nectin-4 is the target of Padcev which is approved worldwide for the treatment of locally advanced or metastatic UC. Nectin-4 is a surface protein that is expressed in a wide variety of solid tumor types and has very limited expression in normal adult tissues. Robust expression of Nectin-4 has been reported in various solid tumor indications, including UC, breast, NSCLC, colorectal, pancreatic, ovarian, cervical, head and neck, gastric, and esophageal cancers, with Nectin-4 expression levels of approximately 50%-95% observed in multiple tumor types. Up to an estimated 193,000 cancer patients are diagnosed annually in the United States with solid tumors that may express Nectin-4. The expression of Nectin-4 is associated with poor patient prognosis and unfavorable tumor progression. We believe that elevated Nectin-4 expression in these solid tumors supports our ongoing evaluation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in UC and beyond.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Elevated Nectin-4 mRNA expression expressed in multiple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173990</wp:posOffset>
            </wp:positionV>
            <wp:extent cx="5958205" cy="2503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5820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UC and other Nectin-4 expressing solid tumors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UC is a cancer that begins in the cells that line the urethra, bladder, ureters, renal pelvis and other organs. Over 90% of bladder cancers in the United States are UCs. The National Cancer Institute estimated that there would be greater than 83,000 new cases of bladder cancer and approximately 16,800 bladder cancer related deaths in the United States in 2024. Bladder cancer represents 4% of all cancers in the United States and is the fourth most common cancer in men, though less common in women. In 2024, the total number of patients with locally advanced or metastatic UC in the United States was estimated to be approximately 18,000. Annually, an estimated 4,200 patients are diagnosed with metastatic UC.</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Until recently, the most common treatment for patients diagnosed with locally advanced or metastatic UC was chemotherapy with platinum-based drugs, such as carboplatin or cisplatin in combination with gemcitabine. Patients with metastatic disease that progressed during or after platinum-based chemotherapy were increasingly being treated with checkpoint immunotherapy. A number of PD-1 and PD-L1 checkpoint inhibitors have been approved by the FDA for use in refractory bladder cancer with objective response rates observed in clinical trials between 15% to 21%.</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Due to the ubiquitous and robust expression of Nectin-4 in UC, no companion diagnostic or tissue testing for Nectin-4 is required. To date, there is only one approved Nectin-4 targeted therapy for UC, the ADC enfortumab vedotin, marketed as Padcev by Pfizer and Astellas. Padcev in combination with pembrolizumab is the standard of care for first-line treatment of patients with locally advanced or metastatic UC with no clear standard of care for subsequent lines of therapy. In locally advanced or metastatic UC patients previously treated with a PD-1 or PD-L1 inhibitor and/or platinum-based chemotherapy, treatment with Padcev monotherapy led to a 40.6% overall response rate and improved overall survival to 12.9 months compared to 9.0 months for patients treated with chemotherapy. In treatment-naïve patients with locally advanced or metastatic disease, Padcev in combination with pembrolizumab led to a 67.7% overall response rate and an overall survival of 31.5 months compared to 16.1 months for patients treated with chemotherapy. These data from Padcev in combination with pembrolizumab led to its recommendation as a first-line treatment for patients with locally advanced or metastatic bladder cancer. Sales of Padcev in 2024 were approximately $1.9 billion with estimated peak sales of up to $7.0 billion.</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Although Padcev received initial regulatory approval from the FDA in 2019 for the treatment of locally advanced or metastatic UC, it has not been approved for the treatment of other Nectin-4-expressing tumors and there has been limited clinical development activity to design therapeutics targeting other Nectin-4 expressing tumors, which may be due to the need to develop a companion diagnostic for tissue testing when utilizing an ADC. In clinical trials leading to the initial approval of Padcev, Nectin-4 expression was observed in all 120 UC patients with available tumor biopsies, and the FDA agreed that the use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for Nectin-4 expression was not essential to the safe and effective use of Padcev.</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Other cancers, including breast, NSCLC, colorectal and cervical have been shown to express Nectin-4, though overexpression may not be as ubiquitous as in UC. Breast cancer is the second most common type of cancer in women in the United States with more than an estimated 360,000 patients diagnosed in 2024. Lung cancer is the third most common cancer in the United States with 235,000 patients diagnosed annually and more people in the United States dying from lung cancer than any other type of cancer. NSCLC is the most common type of lung cancer, accounting for about 80% to 85% of all lung cancer cases. Colorectal cancer develops in the colon or rectum with 150,000 new cases in the United States estimated in 2024. Cervical cancer starts in the cells lining the cervix, the lower part of the uterus, and it is estimated that approximately 13,800 new cases of invasive cervical cancer were diagnosed in the United States in 2024.</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develop novel therapies with improved therapeutic profiles in these large patient populations with significant unmet medical needs.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w:t>
      </w:r>
    </w:p>
    <w:p>
      <w:pPr>
        <w:spacing w:after="0" w:line="66" w:lineRule="exact"/>
        <w:rPr>
          <w:sz w:val="20"/>
          <w:szCs w:val="20"/>
          <w:color w:val="auto"/>
        </w:rPr>
      </w:pPr>
    </w:p>
    <w:p>
      <w:pPr>
        <w:jc w:val="both"/>
        <w:ind w:firstLine="374"/>
        <w:spacing w:after="0" w:line="215" w:lineRule="auto"/>
        <w:rPr>
          <w:sz w:val="20"/>
          <w:szCs w:val="20"/>
          <w:color w:val="auto"/>
        </w:rPr>
      </w:pPr>
      <w:r>
        <w:rPr>
          <w:rFonts w:ascii="Times New Roman" w:cs="Times New Roman" w:eastAsia="Times New Roman" w:hAnsi="Times New Roman"/>
          <w:sz w:val="18"/>
          <w:szCs w:val="18"/>
          <w:color w:val="auto"/>
        </w:rPr>
        <w:t>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contains a miniprotein, AKY-1189, that specifically binds to Nectin-4, which is conjugated via chelation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AKY-1189 is a 45-amino-acid miniprotein covalently attached to an established radioisotope chelator, DOTA, through a short, chemically stable linker. In our preclinical mouse models, AKY-1189 was observed to specifically localize to Nectin-4 expressing tumors while minimizing exposure to the kidneys and other normal organs and tissues. Clinical imaging and dosimetry assessments using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Lu]Lu-AKY-1189 in patients demonstrated high tumor uptake of AKY-1189 in UC and four other tumor types known to express Nectin-4, while being rapidly cleared from the body and avoiding normal organs and tissues.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and development of AKY-1189 utilizing our miniprotein radioconjugate platform</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have leveraged our proprietary miniprotein radioconjugate platform to discover and develop AKY-1189 following an evaluation of millions of potential candidates through a combination of computational modeling, directed evolution, functional screening,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profiling and medicinal chemistry. Our approach enabled us to optimize the physicochemical, potency, and pharmacological properties of miniprotein binders that led to the discovery of AKY-1189.</w:t>
      </w:r>
    </w:p>
    <w:p>
      <w:pPr>
        <w:spacing w:after="0" w:line="79"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18"/>
          <w:szCs w:val="18"/>
          <w:color w:val="auto"/>
        </w:rPr>
        <w:t>AKY-1189 is engineered to be thermally stable to at least 75°C to enable the manufacture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The conjugated radiopharmaceutical is designed to maintain radiochemical stability for at least four days to support central manufacturing and enable flexible distribution and clinical administration.</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both"/>
        <w:ind w:firstLine="374"/>
        <w:spacing w:after="0" w:line="236" w:lineRule="auto"/>
        <w:rPr>
          <w:sz w:val="20"/>
          <w:szCs w:val="20"/>
          <w:color w:val="auto"/>
        </w:rPr>
      </w:pPr>
      <w:r>
        <w:rPr>
          <w:rFonts w:ascii="Times New Roman" w:cs="Times New Roman" w:eastAsia="Times New Roman" w:hAnsi="Times New Roman"/>
          <w:sz w:val="18"/>
          <w:szCs w:val="18"/>
          <w:color w:val="auto"/>
        </w:rPr>
        <w:t>The binding affinity, referred to as K</w:t>
      </w:r>
      <w:r>
        <w:rPr>
          <w:rFonts w:ascii="Times New Roman" w:cs="Times New Roman" w:eastAsia="Times New Roman" w:hAnsi="Times New Roman"/>
          <w:sz w:val="24"/>
          <w:szCs w:val="24"/>
          <w:color w:val="auto"/>
          <w:vertAlign w:val="subscript"/>
        </w:rPr>
        <w:t>D</w:t>
      </w:r>
      <w:r>
        <w:rPr>
          <w:rFonts w:ascii="Times New Roman" w:cs="Times New Roman" w:eastAsia="Times New Roman" w:hAnsi="Times New Roman"/>
          <w:sz w:val="18"/>
          <w:szCs w:val="18"/>
          <w:color w:val="auto"/>
        </w:rPr>
        <w:t>, of AKY-1189 to Nectin-4 was determined to be 0.22 nanomolar, or nM, by surface plasmon resonance. The K</w:t>
      </w:r>
      <w:r>
        <w:rPr>
          <w:rFonts w:ascii="Times New Roman" w:cs="Times New Roman" w:eastAsia="Times New Roman" w:hAnsi="Times New Roman"/>
          <w:sz w:val="24"/>
          <w:szCs w:val="24"/>
          <w:color w:val="auto"/>
          <w:vertAlign w:val="subscript"/>
        </w:rPr>
        <w:t>i</w:t>
      </w:r>
      <w:r>
        <w:rPr>
          <w:rFonts w:ascii="Times New Roman" w:cs="Times New Roman" w:eastAsia="Times New Roman" w:hAnsi="Times New Roman"/>
          <w:sz w:val="18"/>
          <w:szCs w:val="18"/>
          <w:color w:val="auto"/>
        </w:rPr>
        <w:t>, or inhibitory constant, which also measures binding affinity, of this miniprotein to Nectin-4 expressing tumor cells was determined to be 0.82 nM, and within the range of 0.1 nM to 1 nM targeted by therapeutic antibodies designed to deliver cytotoxins to tumors, such as ADCs. No off-target binding of AKY-1189 was detected when tested at a concentration of 450 times higher than its K</w:t>
      </w:r>
      <w:r>
        <w:rPr>
          <w:rFonts w:ascii="Times New Roman" w:cs="Times New Roman" w:eastAsia="Times New Roman" w:hAnsi="Times New Roman"/>
          <w:sz w:val="24"/>
          <w:szCs w:val="24"/>
          <w:color w:val="auto"/>
          <w:vertAlign w:val="subscript"/>
        </w:rPr>
        <w:t>D</w:t>
      </w:r>
      <w:r>
        <w:rPr>
          <w:rFonts w:ascii="Times New Roman" w:cs="Times New Roman" w:eastAsia="Times New Roman" w:hAnsi="Times New Roman"/>
          <w:sz w:val="18"/>
          <w:szCs w:val="18"/>
          <w:color w:val="auto"/>
        </w:rPr>
        <w:t xml:space="preserve"> for Nectin-4. This selectivity testing was conducted for more than 6,200 surface expressed or secreted proteins, including Nectin-1, -2, and -3. Furthermore, no binding was observed in a tumor cell line in which the gene for Nectin-4 had been removed by CRISPR knockout. We believe the binding affinity and selectivity of AKY-1189 supports a favorable risk-benefit profile.</w:t>
      </w:r>
    </w:p>
    <w:p>
      <w:pPr>
        <w:spacing w:after="0" w:line="92"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 xml:space="preserve">In addition to high Nectin-4 binding affinity, we designed AKY-1189 to be minimally retained in the kidney. Our optimization process is exemplified by examining the progression of the properties from our earlier Nectin-4 targeted miniproteins, AKY-807 and AKY-1162, to AKY-1189.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assays demonstrated that AKY-807 was a potent and selective binder to Nectin-4 expressing tumor cells but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imaging studies with an imaging radioisotope,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In]In-AKY-807, demonstrated that the AKY-807 also localized to the kidneys. However, while some localization in the kidneys was expected given renally-cleared molecules are subject to reabsorption in the kidney, we observed that high levels remained in the kidneys for 22 hours after dosing. Through a series of sequence modifications to the miniprotein, we generated a series of molecules, including AKY-1162 and AKY-1189, that improved the Nectin-4 binding affinity and tumor binding, while simultaneously reducing kidney retention. As seen in the images below, there was considerable improvement in the lack of kidney retention, coupled with improvement in tumor uptake from AKY-807 to AKY-1162 to AKY-1189.</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AKY-1189’s rapid tumor uptake and kidney washout 22 hours after administration compared with previous miniproteins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173990</wp:posOffset>
            </wp:positionV>
            <wp:extent cx="2494280" cy="2108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Brightly colored areas depict presence of imaging radioisotope in mice implanted with xenograft tumors on right forelimb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172720</wp:posOffset>
            </wp:positionV>
            <wp:extent cx="4937760" cy="175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776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Figure left shows low kidney uptake and more rapid washout of AKY-1189 over 22 hours compared to other miniproteins. Figure right depicts more rapid and retained tumor uptake of AKY-1189 over 22 hours compared to other miniproteins.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vivo preclinical studies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and normal tissue uptake</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assess the potential of AKY-1189 in tumor xenograft models we used two versions of the HT-1376 human UC cell line, which is epithelial-like cell isolated from the urinary bladder of a patient with cancer. The expression levels were determined by</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histochemical staining and scored using the Histochemical Scoring Assessment, or H-score, which has a range of 0-300, with higher scores representing higher expression. In one cell line, noted as low expression in the image below, Nectin-4 expression was limited to the endogenous levels of the cell line, with an H score of 175. In the other cell line, noted as representative expression in the image below, we used genetic engineering to increase the level of Nectin-4 expression to more closely match that observed in representative metastatic UC patient biopsies, with an H-score of 291. Between 55% to 90% of metastatic UC patients are initially diagnosed with a H-score similar to the representative expression cell line.</w:t>
      </w:r>
    </w:p>
    <w:p>
      <w:pPr>
        <w:spacing w:after="0" w:line="7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Nectin-4 expression in the modified HT-1376 cell line matched that observed in a representative biopsy from a metastatic UC patient that has high levels of Nectin-4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129540</wp:posOffset>
            </wp:positionV>
            <wp:extent cx="5958205" cy="128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5820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74"/>
        <w:spacing w:after="0" w:line="220" w:lineRule="auto"/>
        <w:rPr>
          <w:sz w:val="20"/>
          <w:szCs w:val="20"/>
          <w:color w:val="auto"/>
        </w:rPr>
      </w:pPr>
      <w:r>
        <w:rPr>
          <w:rFonts w:ascii="Times New Roman" w:cs="Times New Roman" w:eastAsia="Times New Roman" w:hAnsi="Times New Roman"/>
          <w:sz w:val="18"/>
          <w:szCs w:val="18"/>
          <w:color w:val="auto"/>
        </w:rPr>
        <w:t>We assessed the ability of AKY-1189 to localize to tumors in a mouse xenograft model using the representative Nectin-4 expressing HT-1376 cell line. Dosing with the imaging radioisotope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In]In-AKY-1189 allowed quantitative measurement of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In]In-AKY-1189 biodistribution using single-photon emission computed tomography, or SPECT, imaging. Within minutes of dosing, the highest levels of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In]In-AKY-1189 were found in the tumor. These levels in the tumor were maintained for approximately two hours, after which the levels slowly declined over the 24-hour observation period, with retention observed for up to three days after dosing. In contrast, the levels of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In]In-AKY-1189 observed in the kidneys rose within minutes after dosing and then rapidly declined as [</w:t>
      </w:r>
      <w:r>
        <w:rPr>
          <w:rFonts w:ascii="Times New Roman" w:cs="Times New Roman" w:eastAsia="Times New Roman" w:hAnsi="Times New Roman"/>
          <w:sz w:val="24"/>
          <w:szCs w:val="24"/>
          <w:color w:val="auto"/>
          <w:vertAlign w:val="superscript"/>
        </w:rPr>
        <w:t>111</w:t>
      </w:r>
      <w:r>
        <w:rPr>
          <w:rFonts w:ascii="Times New Roman" w:cs="Times New Roman" w:eastAsia="Times New Roman" w:hAnsi="Times New Roman"/>
          <w:sz w:val="18"/>
          <w:szCs w:val="18"/>
          <w:color w:val="auto"/>
        </w:rPr>
        <w:t>In]In-AKY-1189 was eliminated from the body. This desired preclinical biodistribution profile, high tumor uptake and reduced exposure to organs and normal tissues, supported the advancement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believe this biodistribution profile enables a wide therapeutic window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in treating patients with Nectin-4 expressing tumors.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AKY-1189 was localized and retained in tumors, while being rapidly washed out from the kidneys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173990</wp:posOffset>
            </wp:positionV>
            <wp:extent cx="1645920" cy="2117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Brightly colored areas depict presence of imaging radioisotope four hours after dosing (left) and 24 hours after dosing (right), in mice implanted with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xenograft tumors on right forelimb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1511300</wp:posOffset>
            </wp:positionH>
            <wp:positionV relativeFrom="page">
              <wp:posOffset>663575</wp:posOffset>
            </wp:positionV>
            <wp:extent cx="4526280" cy="1808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628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Figure left shows low kidney uptake and rapid washout of AKY-1189 over 24 hours. Figure right depicts high, rapid and retained tumor uptake of AKY-1189 over 24 hours.</w:t>
      </w:r>
    </w:p>
    <w:p>
      <w:pPr>
        <w:spacing w:after="0" w:line="52"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18"/>
          <w:szCs w:val="18"/>
          <w:color w:val="auto"/>
        </w:rPr>
        <w:t>Based on our modeling of the pharmacokinetics of AKY-1189 and scaling to projected human doses, we estimate that a dose of 7.4 MBq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a standard dose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Ac-based radiopharmaceuticals that has demonstrated anticancer effects, will result in a low systemic and kidney exposure to radiation. The ability to deliver a radiopharmaceutical at a dose that is both safe and efficacious is critical and these preclinical predictions lie well within what we believe is a viable range for eventual clinical development and, if approved, commercialization. We believe that the therapeutic window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can improve tolerability and patient quality of life and provide the opportunity to potentially explore higher doses that could improve efficacy.</w:t>
      </w:r>
    </w:p>
    <w:p>
      <w:pPr>
        <w:spacing w:after="0" w:line="98"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18"/>
          <w:szCs w:val="18"/>
          <w:color w:val="auto"/>
        </w:rPr>
        <w:t>The profile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provides the potential for flexibility in both the schedule and administered dose before approaching the EBRT benchmark limit of 23 RBE5Gy for kidneys. This is a level at which EBRT has been associated with a risk of chronic kidney disease in five percent of patients five years after dosing.</w:t>
      </w:r>
    </w:p>
    <w:p>
      <w:pPr>
        <w:spacing w:after="0" w:line="86"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Dosimetry scaling suggests that the radiation exposure to the kidney in humans will be well within the range generally considered to be acceptable in the field and below thresholds associated with kidney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129540</wp:posOffset>
            </wp:positionV>
            <wp:extent cx="4937760" cy="131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77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Antitumor activity of [</w:t>
      </w:r>
      <w:r>
        <w:rPr>
          <w:rFonts w:ascii="Times New Roman" w:cs="Times New Roman" w:eastAsia="Times New Roman" w:hAnsi="Times New Roman"/>
          <w:sz w:val="24"/>
          <w:szCs w:val="24"/>
          <w:i w:val="1"/>
          <w:iCs w:val="1"/>
          <w:color w:val="auto"/>
          <w:vertAlign w:val="superscript"/>
        </w:rPr>
        <w:t>225</w:t>
      </w:r>
      <w:r>
        <w:rPr>
          <w:rFonts w:ascii="Times New Roman" w:cs="Times New Roman" w:eastAsia="Times New Roman" w:hAnsi="Times New Roman"/>
          <w:sz w:val="18"/>
          <w:szCs w:val="18"/>
          <w:i w:val="1"/>
          <w:iCs w:val="1"/>
          <w:color w:val="auto"/>
        </w:rPr>
        <w:t>Ac]Ac-AKY-1189</w:t>
      </w:r>
    </w:p>
    <w:p>
      <w:pPr>
        <w:spacing w:after="0" w:line="64"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8"/>
          <w:szCs w:val="18"/>
          <w:color w:val="auto"/>
        </w:rPr>
        <w:t>As shown below,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also had increased antitumor activity in both high and low Nectin-4 expressing tumors in xenograft models. In our preclinical study, we observed that mice bearing HT-1376 tumors expressing low or representative levels of Nectin-4 were administered with either a single intravenous dose of 1 µCi, or microcuries,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vehicle (n=8 mice per group). Treatment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resulted in a mean tumor regression of 53% in the representative Nectin-4 expressing tumors by day 25 (n=8 remaining animals) and an overall survival rate of 75% at the end of an eight-week observation period where median survival was not reached during the observation period. Treatment with vehicle in the representative Nectin-4 expressing tumors had no surviving animals at the end of the observation period and had a median overall survival of 28.5 days (n=5 remaining animals at day 25). In low Nectin-4 expressing tumors,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treatment led to an average tumor growth inhibition of 62% at day 25 (n=8 remaining animals at day 25) and led to a median survival of 49 days. In low Nectin-4 expressing tumors, treatment with vehicle led to a median survival of 26.5 days (n=6 remaining animals at day 25). Body weight was monitored as a surrogate of overall animal health. Animal weights remained constant throughout the treatment period, indicating that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treatment was well tolerated.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225</w:t>
      </w:r>
      <w:r>
        <w:rPr>
          <w:rFonts w:ascii="Times New Roman" w:cs="Times New Roman" w:eastAsia="Times New Roman" w:hAnsi="Times New Roman"/>
          <w:sz w:val="18"/>
          <w:szCs w:val="18"/>
          <w:b w:val="1"/>
          <w:bCs w:val="1"/>
          <w:color w:val="auto"/>
        </w:rPr>
        <w:t>Ac]Ac-AKY-1189 had increased antitumor activity in both high and low Nectin-4 expressing tumors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134620</wp:posOffset>
            </wp:positionV>
            <wp:extent cx="4114800" cy="2408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480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8"/>
          <w:szCs w:val="18"/>
          <w:color w:val="auto"/>
        </w:rPr>
        <w:t>Furthermore, treatment of mice harboring HT-1376 tumors with a single dose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resulted in improved tumor growth inhibition compared to multiple doses of Padcev, assessed in the same study. The mice expressing low levels of Nectin-4 were treated with a single intravenous dose of 2 µCi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on day zero. As depicted below, this resulted in a mean tumor growth inhibition of 75% at day 38 compared to 53% inhibition after three administrations of Padcev on day zero, 7 and 14 (depicted in figure A below). Animal weights remained constant during the treatment period, indicating that both regimens were well-tolerated (depicted in figure B below). To compare the antitumor activity and tolerability of Padcev, we calculated the dose to be used in mice based off the approved clinical dose and regimen. The dosing regimen used for Padcev of 3mg/kg once a week for three weeks in mice, demonstrated plasma exposures with an area under the curve, or AUC, of 88 µg*day/mL (depicted in figure C below), similar to those observed in patients treated with the clinical regimen of 1.25mg/m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(AUC = 111+38 µg*day/mL). AUC is a measure of drug exposure over time. When comparing this clinically relevant dose of Padcev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observed a favorable response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in Padcev responsive tumors.</w:t>
      </w:r>
    </w:p>
    <w:p>
      <w:pPr>
        <w:spacing w:after="0" w:line="99" w:lineRule="exact"/>
        <w:rPr>
          <w:sz w:val="20"/>
          <w:szCs w:val="20"/>
          <w:color w:val="auto"/>
        </w:rPr>
      </w:pPr>
    </w:p>
    <w:p>
      <w:pPr>
        <w:jc w:val="center"/>
        <w:ind w:right="40"/>
        <w:spacing w:after="0" w:line="229" w:lineRule="auto"/>
        <w:rPr>
          <w:sz w:val="20"/>
          <w:szCs w:val="20"/>
          <w:color w:val="auto"/>
        </w:rPr>
      </w:pPr>
      <w:r>
        <w:rPr>
          <w:rFonts w:ascii="Times New Roman" w:cs="Times New Roman" w:eastAsia="Times New Roman" w:hAnsi="Times New Roman"/>
          <w:sz w:val="18"/>
          <w:szCs w:val="18"/>
          <w:b w:val="1"/>
          <w:bCs w:val="1"/>
          <w:color w:val="auto"/>
        </w:rPr>
        <w:t>A single administration of [</w:t>
      </w:r>
      <w:r>
        <w:rPr>
          <w:rFonts w:ascii="Times New Roman" w:cs="Times New Roman" w:eastAsia="Times New Roman" w:hAnsi="Times New Roman"/>
          <w:sz w:val="24"/>
          <w:szCs w:val="24"/>
          <w:b w:val="1"/>
          <w:bCs w:val="1"/>
          <w:color w:val="auto"/>
          <w:vertAlign w:val="superscript"/>
        </w:rPr>
        <w:t>225</w:t>
      </w:r>
      <w:r>
        <w:rPr>
          <w:rFonts w:ascii="Times New Roman" w:cs="Times New Roman" w:eastAsia="Times New Roman" w:hAnsi="Times New Roman"/>
          <w:sz w:val="18"/>
          <w:szCs w:val="18"/>
          <w:b w:val="1"/>
          <w:bCs w:val="1"/>
          <w:color w:val="auto"/>
        </w:rPr>
        <w:t>Ac]Ac-AKY-1189 resulted in greater inhibition of tumor growth than Padcev in low Nectin-4 expressing tumors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154305</wp:posOffset>
            </wp:positionV>
            <wp:extent cx="4954905" cy="2888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490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24"/>
          <w:szCs w:val="24"/>
          <w:i w:val="1"/>
          <w:iCs w:val="1"/>
          <w:color w:val="auto"/>
          <w:vertAlign w:val="subscript"/>
        </w:rPr>
        <w:t>max</w:t>
      </w:r>
      <w:r>
        <w:rPr>
          <w:rFonts w:ascii="Times New Roman" w:cs="Times New Roman" w:eastAsia="Times New Roman" w:hAnsi="Times New Roman"/>
          <w:sz w:val="18"/>
          <w:szCs w:val="18"/>
          <w:i w:val="1"/>
          <w:iCs w:val="1"/>
          <w:color w:val="auto"/>
        </w:rPr>
        <w:t xml:space="preserve"> denotes maximum drug concentration; T</w:t>
      </w:r>
      <w:r>
        <w:rPr>
          <w:rFonts w:ascii="Times New Roman" w:cs="Times New Roman" w:eastAsia="Times New Roman" w:hAnsi="Times New Roman"/>
          <w:sz w:val="24"/>
          <w:szCs w:val="24"/>
          <w:i w:val="1"/>
          <w:iCs w:val="1"/>
          <w:color w:val="auto"/>
          <w:vertAlign w:val="subscript"/>
        </w:rPr>
        <w:t>1/2</w:t>
      </w:r>
      <w:r>
        <w:rPr>
          <w:rFonts w:ascii="Times New Roman" w:cs="Times New Roman" w:eastAsia="Times New Roman" w:hAnsi="Times New Roman"/>
          <w:sz w:val="18"/>
          <w:szCs w:val="18"/>
          <w:i w:val="1"/>
          <w:iCs w:val="1"/>
          <w:color w:val="auto"/>
        </w:rPr>
        <w:t xml:space="preserve"> denotes time required to decrease drug concentration by half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Named patient use pursuant to Section 21 of South Africa’s Medicines and Related Substances Act</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Mike Sathekge, MD, Head of Nuclear Medicine Department, University of Pretoria and Steve Biko, Academic Hospital, and President and Chief Executive Officer, Nuclear Medicine Research Infrastructure, or NuMeRI, administered radioconjugated AKY-1189 provided by us to a limited number of their patients in South Africa pursuant to Section 21 of the MRSA, which allows healthcare providers to administer unregistered medicines to patients, as authorized by SAPHRA.</w:t>
      </w:r>
    </w:p>
    <w:p>
      <w:pPr>
        <w:spacing w:after="0" w:line="79" w:lineRule="exact"/>
        <w:rPr>
          <w:sz w:val="20"/>
          <w:szCs w:val="20"/>
          <w:color w:val="auto"/>
        </w:rPr>
      </w:pPr>
    </w:p>
    <w:p>
      <w:pPr>
        <w:jc w:val="both"/>
        <w:ind w:firstLine="374"/>
        <w:spacing w:after="0" w:line="224" w:lineRule="auto"/>
        <w:rPr>
          <w:sz w:val="20"/>
          <w:szCs w:val="20"/>
          <w:color w:val="auto"/>
        </w:rPr>
      </w:pPr>
      <w:r>
        <w:rPr>
          <w:rFonts w:ascii="Times New Roman" w:cs="Times New Roman" w:eastAsia="Times New Roman" w:hAnsi="Times New Roman"/>
          <w:sz w:val="18"/>
          <w:szCs w:val="18"/>
          <w:color w:val="auto"/>
        </w:rPr>
        <w:t>AKY-1189 conjugated to an imaging radioisotope,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 was dosed in 20 patients with UC, breast cancer, NSCLC, colorectal cancer and cervical cancer. Of these 20 patients, all 20 were available for safety and normal tissue distribution assessment, and 15 were evaluable for tumor uptake. A subset of nine patients underwent kidney dosimetry with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Lu]Lu-AKY-1189 and eight patients were evaluable for quantitative assessment of the absorbed dose of radiation to the kidney and bone marrow. One patient also received</w:t>
      </w:r>
    </w:p>
    <w:p>
      <w:pPr>
        <w:spacing w:after="0" w:line="9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AKY-807 conjugated to the same imaging isotopes allowing for intra-patient comparison of tumor uptake and absorbed dose to the kidney. In line with the preclinical predictions, AKY-1189 showed superior tumor uptake with less radiation exposure to the kidneys compared to AKY-807, with no adverse events observed.</w:t>
      </w:r>
    </w:p>
    <w:p>
      <w:pPr>
        <w:spacing w:after="0" w:line="75"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18"/>
          <w:szCs w:val="18"/>
          <w:color w:val="auto"/>
        </w:rPr>
        <w:t>The figure below depicts normal tissue distribution of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 and robust tumor uptake, including in brain metastasis. Dark areas in the image below depict uptake of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Representative PET/CT image of a patient dosed with [</w:t>
      </w:r>
      <w:r>
        <w:rPr>
          <w:rFonts w:ascii="Times New Roman" w:cs="Times New Roman" w:eastAsia="Times New Roman" w:hAnsi="Times New Roman"/>
          <w:sz w:val="24"/>
          <w:szCs w:val="24"/>
          <w:b w:val="1"/>
          <w:bCs w:val="1"/>
          <w:color w:val="auto"/>
          <w:vertAlign w:val="superscript"/>
        </w:rPr>
        <w:t>68</w:t>
      </w:r>
      <w:r>
        <w:rPr>
          <w:rFonts w:ascii="Times New Roman" w:cs="Times New Roman" w:eastAsia="Times New Roman" w:hAnsi="Times New Roman"/>
          <w:sz w:val="18"/>
          <w:szCs w:val="18"/>
          <w:b w:val="1"/>
          <w:bCs w:val="1"/>
          <w:color w:val="auto"/>
        </w:rPr>
        <w:t>Ga]Ga-AKY-1189 after 1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134620</wp:posOffset>
            </wp:positionV>
            <wp:extent cx="2880360" cy="3120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8036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74"/>
        <w:spacing w:after="0" w:line="229" w:lineRule="auto"/>
        <w:rPr>
          <w:sz w:val="20"/>
          <w:szCs w:val="20"/>
          <w:color w:val="auto"/>
        </w:rPr>
      </w:pPr>
      <w:r>
        <w:rPr>
          <w:rFonts w:ascii="Times New Roman" w:cs="Times New Roman" w:eastAsia="Times New Roman" w:hAnsi="Times New Roman"/>
          <w:sz w:val="18"/>
          <w:szCs w:val="18"/>
          <w:color w:val="auto"/>
        </w:rPr>
        <w:t>Tumor uptake was evaluated with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Ga]Ga-AKY-1189 in 15 patients via PET/CT one hour post-injection. Standard uptake values, or SUVs, were calculated using standard methodology also utilized in standard diagnostic PET/CT images. As depicted in the chart below, SUVs were consistently at or above the levels expected to be required for efficacy and in line with SUVs reported for approved radiopharmaceuticals. This was observed across all tumor types assessed including UC, breast cancer, NSCLC, colorectal cancer and cervical cancer, as depicted in the image below on the left. For context, in an editorial published in 2023, Michael Hofman depicted the observed SUV</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for various approved radiopharmaceuticals, including Pluvicto, Lutathera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0" w:name="page21"/>
    <w:bookmarkEnd w:id="20"/>
    <w:p>
      <w:pPr>
        <w:spacing w:after="0" w:line="287" w:lineRule="auto"/>
        <w:rPr>
          <w:sz w:val="20"/>
          <w:szCs w:val="20"/>
          <w:color w:val="auto"/>
        </w:rPr>
      </w:pPr>
      <w:r>
        <w:rPr>
          <w:rFonts w:ascii="Times New Roman" w:cs="Times New Roman" w:eastAsia="Times New Roman" w:hAnsi="Times New Roman"/>
          <w:sz w:val="18"/>
          <w:szCs w:val="18"/>
          <w:color w:val="auto"/>
        </w:rPr>
        <w:t>purported next alpha generation therapies. His study set forth the observed SUV</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for PSMA and SSTR in the range from 10-100, as depicted in the image below on the right.</w:t>
      </w:r>
    </w:p>
    <w:p>
      <w:pPr>
        <w:sectPr>
          <w:pgSz w:w="11900" w:h="16838" w:orient="portrait"/>
          <w:cols w:equalWidth="0" w:num="1">
            <w:col w:w="11240"/>
          </w:cols>
          <w:pgMar w:left="320" w:top="844" w:right="3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68</w:t>
      </w:r>
      <w:r>
        <w:rPr>
          <w:rFonts w:ascii="Times New Roman" w:cs="Times New Roman" w:eastAsia="Times New Roman" w:hAnsi="Times New Roman"/>
          <w:sz w:val="17"/>
          <w:szCs w:val="17"/>
          <w:b w:val="1"/>
          <w:bCs w:val="1"/>
          <w:color w:val="auto"/>
        </w:rPr>
        <w:t>Ga]Ga-AKY-1189 tumor uptake across assessed tumor types</w:t>
      </w:r>
    </w:p>
    <w:p>
      <w:pPr>
        <w:spacing w:after="0" w:line="7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suggests actionable therapeutic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1645920" cy="1731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5920" cy="1731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Uptake of approved radiopharmaceuticals targeting PSMA and</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SSTR2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83185</wp:posOffset>
            </wp:positionV>
            <wp:extent cx="2263140" cy="1680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140"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8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160"/>
        <w:spacing w:after="0" w:line="284" w:lineRule="auto"/>
        <w:rPr>
          <w:sz w:val="20"/>
          <w:szCs w:val="20"/>
          <w:color w:val="auto"/>
        </w:rPr>
      </w:pPr>
      <w:r>
        <w:rPr>
          <w:rFonts w:ascii="Times New Roman" w:cs="Times New Roman" w:eastAsia="Times New Roman" w:hAnsi="Times New Roman"/>
          <w:sz w:val="18"/>
          <w:szCs w:val="18"/>
          <w:i w:val="1"/>
          <w:iCs w:val="1"/>
          <w:color w:val="auto"/>
        </w:rPr>
        <w:t>SUV in regions of interest including the primary and metastatic tumor deposits at 1 hour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Hierarchy of SUVs: from left to right, iodine-131, PSMA, somatostatin</w:t>
      </w:r>
    </w:p>
    <w:p>
      <w:pPr>
        <w:spacing w:after="0" w:line="29" w:lineRule="exact"/>
        <w:rPr>
          <w:sz w:val="20"/>
          <w:szCs w:val="20"/>
          <w:color w:val="auto"/>
        </w:rPr>
      </w:pPr>
    </w:p>
    <w:p>
      <w:pPr>
        <w:spacing w:after="0"/>
        <w:tabs>
          <w:tab w:leader="none" w:pos="740" w:val="left"/>
          <w:tab w:leader="none" w:pos="1920" w:val="left"/>
          <w:tab w:leader="none" w:pos="2760" w:val="left"/>
          <w:tab w:leader="none" w:pos="3620" w:val="left"/>
          <w:tab w:leader="none" w:pos="4280" w:val="left"/>
          <w:tab w:leader="none" w:pos="5080" w:val="left"/>
        </w:tabs>
        <w:rPr>
          <w:sz w:val="20"/>
          <w:szCs w:val="20"/>
          <w:color w:val="auto"/>
        </w:rPr>
      </w:pPr>
      <w:r>
        <w:rPr>
          <w:rFonts w:ascii="Times New Roman" w:cs="Times New Roman" w:eastAsia="Times New Roman" w:hAnsi="Times New Roman"/>
          <w:sz w:val="18"/>
          <w:szCs w:val="18"/>
          <w:i w:val="1"/>
          <w:iCs w:val="1"/>
          <w:color w:val="auto"/>
        </w:rPr>
        <w:t>receptor</w:t>
        <w:tab/>
        <w:t>(DOTATATE),</w:t>
        <w:tab/>
        <w:t>fibroblast</w:t>
        <w:tab/>
        <w:t>activation</w:t>
        <w:tab/>
        <w:t>protein</w:t>
        <w:tab/>
        <w:t>inhibitor,</w:t>
        <w:tab/>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purported next-generation theranostics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(referenced as “game changing” in the article).</w:t>
      </w:r>
    </w:p>
    <w:p>
      <w:pPr>
        <w:spacing w:after="0" w:line="102" w:lineRule="exact"/>
        <w:rPr>
          <w:sz w:val="20"/>
          <w:szCs w:val="20"/>
          <w:color w:val="auto"/>
        </w:rPr>
      </w:pPr>
    </w:p>
    <w:p>
      <w:pPr>
        <w:sectPr>
          <w:pgSz w:w="11900" w:h="16838" w:orient="portrait"/>
          <w:cols w:equalWidth="0" w:num="2">
            <w:col w:w="5200" w:space="660"/>
            <w:col w:w="5380"/>
          </w:cols>
          <w:pgMar w:left="320" w:top="84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Increasing tumor uptake with [</w:t>
      </w:r>
      <w:r>
        <w:rPr>
          <w:rFonts w:ascii="Times New Roman" w:cs="Times New Roman" w:eastAsia="Times New Roman" w:hAnsi="Times New Roman"/>
          <w:sz w:val="24"/>
          <w:szCs w:val="24"/>
          <w:b w:val="1"/>
          <w:bCs w:val="1"/>
          <w:color w:val="auto"/>
          <w:vertAlign w:val="superscript"/>
        </w:rPr>
        <w:t>177</w:t>
      </w:r>
      <w:r>
        <w:rPr>
          <w:rFonts w:ascii="Times New Roman" w:cs="Times New Roman" w:eastAsia="Times New Roman" w:hAnsi="Times New Roman"/>
          <w:sz w:val="18"/>
          <w:szCs w:val="18"/>
          <w:b w:val="1"/>
          <w:bCs w:val="1"/>
          <w:color w:val="auto"/>
        </w:rPr>
        <w:t>Lu]Lu-AKY-1189 with no accumulation observed in normal tissues observed at 48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134620</wp:posOffset>
            </wp:positionV>
            <wp:extent cx="4937760" cy="2391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776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40" w:hanging="110"/>
        <w:spacing w:after="0"/>
        <w:tabs>
          <w:tab w:leader="none" w:pos="2140" w:val="left"/>
        </w:tabs>
        <w:numPr>
          <w:ilvl w:val="0"/>
          <w:numId w:val="1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~5.55 GBq (150mCi) administered activity</w:t>
      </w:r>
    </w:p>
    <w:p>
      <w:pPr>
        <w:spacing w:after="0" w:line="95" w:lineRule="exact"/>
        <w:rPr>
          <w:sz w:val="20"/>
          <w:szCs w:val="20"/>
          <w:color w:val="auto"/>
        </w:rPr>
      </w:pPr>
    </w:p>
    <w:p>
      <w:pPr>
        <w:jc w:val="center"/>
        <w:ind w:right="20"/>
        <w:spacing w:after="0" w:line="217" w:lineRule="auto"/>
        <w:rPr>
          <w:sz w:val="20"/>
          <w:szCs w:val="20"/>
          <w:color w:val="auto"/>
        </w:rPr>
      </w:pPr>
      <w:r>
        <w:rPr>
          <w:rFonts w:ascii="Times New Roman" w:cs="Times New Roman" w:eastAsia="Times New Roman" w:hAnsi="Times New Roman"/>
          <w:sz w:val="18"/>
          <w:szCs w:val="18"/>
          <w:i w:val="1"/>
          <w:iCs w:val="1"/>
          <w:color w:val="auto"/>
        </w:rPr>
        <w:t>The figures above depict normal tissue deposition and tumor uptake of [</w:t>
      </w:r>
      <w:r>
        <w:rPr>
          <w:rFonts w:ascii="Times New Roman" w:cs="Times New Roman" w:eastAsia="Times New Roman" w:hAnsi="Times New Roman"/>
          <w:sz w:val="24"/>
          <w:szCs w:val="24"/>
          <w:i w:val="1"/>
          <w:iCs w:val="1"/>
          <w:color w:val="auto"/>
          <w:vertAlign w:val="superscript"/>
        </w:rPr>
        <w:t>177</w:t>
      </w:r>
      <w:r>
        <w:rPr>
          <w:rFonts w:ascii="Times New Roman" w:cs="Times New Roman" w:eastAsia="Times New Roman" w:hAnsi="Times New Roman"/>
          <w:sz w:val="18"/>
          <w:szCs w:val="18"/>
          <w:i w:val="1"/>
          <w:iCs w:val="1"/>
          <w:color w:val="auto"/>
        </w:rPr>
        <w:t>Lu]Lu-AKY-1189 during a 48-hour period. Dark areas in image depict tissue and tumor uptake of [</w:t>
      </w:r>
      <w:r>
        <w:rPr>
          <w:rFonts w:ascii="Times New Roman" w:cs="Times New Roman" w:eastAsia="Times New Roman" w:hAnsi="Times New Roman"/>
          <w:sz w:val="24"/>
          <w:szCs w:val="24"/>
          <w:i w:val="1"/>
          <w:iCs w:val="1"/>
          <w:color w:val="auto"/>
          <w:vertAlign w:val="superscript"/>
        </w:rPr>
        <w:t>177</w:t>
      </w:r>
      <w:r>
        <w:rPr>
          <w:rFonts w:ascii="Times New Roman" w:cs="Times New Roman" w:eastAsia="Times New Roman" w:hAnsi="Times New Roman"/>
          <w:sz w:val="18"/>
          <w:szCs w:val="18"/>
          <w:i w:val="1"/>
          <w:iCs w:val="1"/>
          <w:color w:val="auto"/>
        </w:rPr>
        <w:t>Lu]Lu-AKY-1189. At 24 hours post administration, [</w:t>
      </w:r>
      <w:r>
        <w:rPr>
          <w:rFonts w:ascii="Times New Roman" w:cs="Times New Roman" w:eastAsia="Times New Roman" w:hAnsi="Times New Roman"/>
          <w:sz w:val="24"/>
          <w:szCs w:val="24"/>
          <w:i w:val="1"/>
          <w:iCs w:val="1"/>
          <w:color w:val="auto"/>
          <w:vertAlign w:val="superscript"/>
        </w:rPr>
        <w:t>177</w:t>
      </w:r>
      <w:r>
        <w:rPr>
          <w:rFonts w:ascii="Times New Roman" w:cs="Times New Roman" w:eastAsia="Times New Roman" w:hAnsi="Times New Roman"/>
          <w:sz w:val="18"/>
          <w:szCs w:val="18"/>
          <w:i w:val="1"/>
          <w:iCs w:val="1"/>
          <w:color w:val="auto"/>
        </w:rPr>
        <w:t>Lu]Lu-AKY-1189 exposure increased in the tumors without accumulation of exposure to normal tissues.</w:t>
      </w:r>
    </w:p>
    <w:p>
      <w:pPr>
        <w:spacing w:after="0" w:line="99"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 xml:space="preserve">Lu]Lu-AKY-1189 data suggests the predicted absorbed dose to the kidney (median absorbed dose of 0.30 gray/gigabecquerel, or Gy/GBq) and bone marrow (median absorbed dose: 0.01 Gy/GBq) allows for six or more therapeutic doses to be safely administered. These data are consistent with other approved radiopharmaceuticals, including Pluvicto, where the kidneys and bone marrow are not considered dose-limiting organs, when conjugated to either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 xml:space="preserve">Lu 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We plan to evaluate these findings in future clinical trials.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development strategy</w:t>
      </w:r>
    </w:p>
    <w:p>
      <w:pPr>
        <w:spacing w:after="0" w:line="128"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18"/>
          <w:szCs w:val="18"/>
          <w:color w:val="auto"/>
        </w:rPr>
        <w:t>In April 2025, the FDA cleared our IND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locally advanced or metastatic UC and other Nectin-4 expressing tumors. We have commenced a multi-site Phase 1b clinical trial in the United States and anticipate preliminary results from the Part-1 dose escalation portion of this trial in the first quarter of 2027. The Phase 1b trial in the United States will enroll approximately 150 patients and follow a dose escalation strategy utilizing the Bayesian Optimal Interval, or BOIN,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type w:val="continuous"/>
        </w:sectPr>
      </w:pPr>
    </w:p>
    <w:bookmarkStart w:id="21" w:name="page22"/>
    <w:bookmarkEnd w:id="21"/>
    <w:p>
      <w:pPr>
        <w:jc w:val="both"/>
        <w:spacing w:after="0" w:line="232" w:lineRule="auto"/>
        <w:rPr>
          <w:sz w:val="20"/>
          <w:szCs w:val="20"/>
          <w:color w:val="auto"/>
        </w:rPr>
      </w:pPr>
      <w:r>
        <w:rPr>
          <w:rFonts w:ascii="Times New Roman" w:cs="Times New Roman" w:eastAsia="Times New Roman" w:hAnsi="Times New Roman"/>
          <w:sz w:val="18"/>
          <w:szCs w:val="18"/>
          <w:color w:val="auto"/>
        </w:rPr>
        <w:t>design, which is a method used for early phase dose-finding based on model-assisted design elements and is used to determine a suitable dose for consideration in later-stage oncology trials. The Phase 1b trial will only enroll patients with locally advanced or metastatic UC in the dose escalation portion. Imaging and dosimetry in the United States trial will be done with [</w:t>
      </w:r>
      <w:r>
        <w:rPr>
          <w:rFonts w:ascii="Times New Roman" w:cs="Times New Roman" w:eastAsia="Times New Roman" w:hAnsi="Times New Roman"/>
          <w:sz w:val="24"/>
          <w:szCs w:val="24"/>
          <w:color w:val="auto"/>
          <w:vertAlign w:val="superscript"/>
        </w:rPr>
        <w:t>64</w:t>
      </w:r>
      <w:r>
        <w:rPr>
          <w:rFonts w:ascii="Times New Roman" w:cs="Times New Roman" w:eastAsia="Times New Roman" w:hAnsi="Times New Roman"/>
          <w:sz w:val="18"/>
          <w:szCs w:val="18"/>
          <w:color w:val="auto"/>
        </w:rPr>
        <w:t>Cu]Cu-AKY-1189 allowing for multiple timepoint assessments through PET/CT. No imaging selection criteria are employed through dose escalation. Patients will receive up to six cycles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at increasing dose levels. Following completion of dose escalation, dose expansions will be conducted in locally advanced or metastatic UC (n=30), triple-negative breast cancer (n=30) and a basket cohort of other tumors known to have high Nectin-4 expression, including NSCLC, colorectal cancer and cervical cancer (n=40). The primary endpoint of the trial will be to assess safety and tolerability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Secondary endpoints include objective response rate (as measured by RECIST v1.1, a standard way to measure the response of a tumor to treatment), duration of response, progression-free survival, overall survival, changes in quality of life, and to characterize pharmacokinetic and pharmacodynamic profiles.</w:t>
      </w:r>
    </w:p>
    <w:p>
      <w:pPr>
        <w:spacing w:after="0" w:line="9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In December 2025, we disclosed that we had completed the first dose level of the Part 1 dose escalation of the Phase 1b clinical trial and had commenced enrollment of the next dose level. Enrollment in the trial remains on track, and we expect to present data from the Part 1 dose escalation in the first quarter of 2027. Upon completion of the dose escalation portion, a dose expansion portion will be conducted in patients with locally advanced or metastatic UC and other Nectin-4 expressing tumors. Based on the results of our trial, we plan to seek alignment with the FDA to conduct a pivotal Phase 2 trial for accelerated approval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locally advanced or metastatic UC and other Nectin-4 expressing tumors.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was granted Fast Track Designation by the FDA in February 2026 for the treatment of locally advanced or metastatic UC in patients who had progressed on or after prior systemic therapies.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Ac]Ac-AKY-2519 targeting B7-H3 expressing tumors</w:t>
      </w:r>
    </w:p>
    <w:p>
      <w:pPr>
        <w:spacing w:after="0" w:line="6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Our second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Ac]Ac-AKY-2519, is designed to deliver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to B7-H3 (CD276) expressing tumors, including prostate, lung and other solid tumors. B7-H3 is a cell-surface protein that is highly expressed in many types of solid tumors, while having limited expression in normal tissues. In the United States, an estimated 146,000 patients are diagnosed with metastatic NSCLC, small cell lung cancer or prostate cancer annually. We estimate that approximately 90% of all metastatic castration-resistant prostate cancers, 80% of NSCLCs and 70% of small cell lung cancers, express B7-H3, while also being expressed on other solid tumors like breast cancers. High expression of B7-H3 has been correlated with poor overall survival and a lack of responsiveness to anti-PD-1 therapeutics in several tumor types. B7-H3 has attracted substantial clinical development efforts across different modalities, including antibody-drug conjugates, with several late-stage antibody-drug conjugates demonstrating preliminary efficacy signals and acceptable safety profiles. Regarding the potential for B7-H3 as a target in prostate cancer, we believe B7-H3 may be superior to PSMA for imaging and treatment of patients with prostate cancer due to higher sensitivity and tumor specificity with a clean normal tissue expression profile.</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discovered AKY-2519, a highly potent and specific binder of B7-H3, characterized it, and advanced it to a development candidate in the fourth quarter of 2024. AKY-2519, a proprietary 49-amino acid rationally designed miniprotein, met all of our pre-specified development candidate criteria including those for potency, selectivity, thermal stability, radiochemical stability, and solubility. AKY-2519 also met or exceeded our desired pharmacokinetic and biodistribution benchmarks while demonstrating robust preclinical efficacy.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of [</w:t>
      </w:r>
      <w:r>
        <w:rPr>
          <w:rFonts w:ascii="Times New Roman" w:cs="Times New Roman" w:eastAsia="Times New Roman" w:hAnsi="Times New Roman"/>
          <w:sz w:val="24"/>
          <w:szCs w:val="24"/>
          <w:i w:val="1"/>
          <w:iCs w:val="1"/>
          <w:color w:val="auto"/>
          <w:vertAlign w:val="superscript"/>
        </w:rPr>
        <w:t>225</w:t>
      </w:r>
      <w:r>
        <w:rPr>
          <w:rFonts w:ascii="Times New Roman" w:cs="Times New Roman" w:eastAsia="Times New Roman" w:hAnsi="Times New Roman"/>
          <w:sz w:val="18"/>
          <w:szCs w:val="18"/>
          <w:i w:val="1"/>
          <w:iCs w:val="1"/>
          <w:color w:val="auto"/>
        </w:rPr>
        <w:t>Ac]Ac-AKY-2519</w:t>
      </w:r>
    </w:p>
    <w:p>
      <w:pPr>
        <w:spacing w:after="0" w:line="64" w:lineRule="exact"/>
        <w:rPr>
          <w:sz w:val="20"/>
          <w:szCs w:val="20"/>
          <w:color w:val="auto"/>
        </w:rPr>
      </w:pPr>
    </w:p>
    <w:p>
      <w:pPr>
        <w:jc w:val="both"/>
        <w:ind w:firstLine="374"/>
        <w:spacing w:after="0" w:line="219" w:lineRule="auto"/>
        <w:rPr>
          <w:sz w:val="20"/>
          <w:szCs w:val="20"/>
          <w:color w:val="auto"/>
        </w:rPr>
      </w:pPr>
      <w:r>
        <w:rPr>
          <w:rFonts w:ascii="Times New Roman" w:cs="Times New Roman" w:eastAsia="Times New Roman" w:hAnsi="Times New Roman"/>
          <w:sz w:val="18"/>
          <w:szCs w:val="18"/>
          <w:color w:val="auto"/>
        </w:rPr>
        <w:t>As shown below,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demonstrated dose-dependent antitumor activity after a single administration in mice harboring a non-small cell lung cancer cell, or NSCLC, line-derived xenograft tumor. Mice treated with a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showed marked tumor growth inhibition of 92% for the 1.0 µCi dose and 80% for the 0.5 µCi dose, compared to vehicle (n=8 mice per group), and a best response of 48% regression at the 1.0 µCi group. The observed tumor growth inhibition led to prolonged survival for mice treated at each dose level compared to vehicle-treated mice. Body weight remained constant throughout the treatment period, suggesting that both dose levels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were well tolerated.</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225</w:t>
      </w:r>
      <w:r>
        <w:rPr>
          <w:rFonts w:ascii="Times New Roman" w:cs="Times New Roman" w:eastAsia="Times New Roman" w:hAnsi="Times New Roman"/>
          <w:sz w:val="18"/>
          <w:szCs w:val="18"/>
          <w:b w:val="1"/>
          <w:bCs w:val="1"/>
          <w:color w:val="auto"/>
        </w:rPr>
        <w:t>Ac]Ac-AKY-2519 demonstrated antitumor activity and increased survival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134620</wp:posOffset>
            </wp:positionV>
            <wp:extent cx="3909060" cy="2383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0906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An analysis of B7-H3 expression across human tumor microarrays demonstrated that B7-H3 is highly expressed in multiple solid tumor indications, specifically squamous NSCLC, squamous esophageal, prostate and triple-negative breast cancers, or TNBC. Levels of B7-H3 expression across these indications are comparable to the level of expression of the mouse model utilized in our preclinical studies, supporting the translational relevance of this model and suggesting that a majority of patients in these indications express equivalent or higher levels of B7-H3 compared to the mouse model that responded robustly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treatment.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B7-H3 expression across multiple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173990</wp:posOffset>
            </wp:positionV>
            <wp:extent cx="3497580" cy="3111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75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development strategy for [</w:t>
      </w:r>
      <w:r>
        <w:rPr>
          <w:rFonts w:ascii="Times New Roman" w:cs="Times New Roman" w:eastAsia="Times New Roman" w:hAnsi="Times New Roman"/>
          <w:sz w:val="24"/>
          <w:szCs w:val="24"/>
          <w:i w:val="1"/>
          <w:iCs w:val="1"/>
          <w:color w:val="auto"/>
          <w:vertAlign w:val="superscript"/>
        </w:rPr>
        <w:t>225</w:t>
      </w:r>
      <w:r>
        <w:rPr>
          <w:rFonts w:ascii="Times New Roman" w:cs="Times New Roman" w:eastAsia="Times New Roman" w:hAnsi="Times New Roman"/>
          <w:sz w:val="18"/>
          <w:szCs w:val="18"/>
          <w:i w:val="1"/>
          <w:iCs w:val="1"/>
          <w:color w:val="auto"/>
        </w:rPr>
        <w:t>Ac]Ac-AKY-2519</w:t>
      </w:r>
    </w:p>
    <w:p>
      <w:pPr>
        <w:spacing w:after="0" w:line="64" w:lineRule="exact"/>
        <w:rPr>
          <w:sz w:val="20"/>
          <w:szCs w:val="20"/>
          <w:color w:val="auto"/>
        </w:rPr>
      </w:pPr>
    </w:p>
    <w:p>
      <w:pPr>
        <w:jc w:val="both"/>
        <w:ind w:firstLine="374"/>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Ga]Ga-AKY-2519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Lu]Lu-AKY-2519 uptake in tumors and normal tissue biodistribution is currently being assessed in patients with various B7-H3 expressing solid tumors. To date, each of [</w:t>
      </w:r>
      <w:r>
        <w:rPr>
          <w:rFonts w:ascii="Times New Roman" w:cs="Times New Roman" w:eastAsia="Times New Roman" w:hAnsi="Times New Roman"/>
          <w:sz w:val="24"/>
          <w:szCs w:val="24"/>
          <w:color w:val="auto"/>
          <w:vertAlign w:val="superscript"/>
        </w:rPr>
        <w:t>68</w:t>
      </w:r>
      <w:r>
        <w:rPr>
          <w:rFonts w:ascii="Times New Roman" w:cs="Times New Roman" w:eastAsia="Times New Roman" w:hAnsi="Times New Roman"/>
          <w:sz w:val="18"/>
          <w:szCs w:val="18"/>
          <w:color w:val="auto"/>
        </w:rPr>
        <w:t>Ga]Ga-AKY-2519 and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Lu]Lu-AKY-2519 has demonstrated compelling tumor uptake across different tumor types with low uptake in normal tissues and a differentiated biodistribution profile, showcasing rapid clearance from normal organ and tissues, including the kidney. We expect the results of the imaging and dosimetry assessment in patients with various tumor types to be reported in mid-2026. In March 2026, our INDs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and for [</w:t>
      </w:r>
      <w:r>
        <w:rPr>
          <w:rFonts w:ascii="Times New Roman" w:cs="Times New Roman" w:eastAsia="Times New Roman" w:hAnsi="Times New Roman"/>
          <w:sz w:val="24"/>
          <w:szCs w:val="24"/>
          <w:color w:val="auto"/>
          <w:vertAlign w:val="superscript"/>
        </w:rPr>
        <w:t>64</w:t>
      </w:r>
      <w:r>
        <w:rPr>
          <w:rFonts w:ascii="Times New Roman" w:cs="Times New Roman" w:eastAsia="Times New Roman" w:hAnsi="Times New Roman"/>
          <w:sz w:val="18"/>
          <w:szCs w:val="18"/>
          <w:color w:val="auto"/>
        </w:rPr>
        <w:t>Cu]Cu-AKY-2519 were cleared by the FDA to proceed to a Phase 1b clinical trial. We expect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3" w:name="page24"/>
    <w:bookmarkEnd w:id="23"/>
    <w:p>
      <w:pPr>
        <w:jc w:val="both"/>
        <w:spacing w:after="0" w:line="224" w:lineRule="auto"/>
        <w:rPr>
          <w:sz w:val="20"/>
          <w:szCs w:val="20"/>
          <w:color w:val="auto"/>
        </w:rPr>
      </w:pPr>
      <w:r>
        <w:rPr>
          <w:rFonts w:ascii="Times New Roman" w:cs="Times New Roman" w:eastAsia="Times New Roman" w:hAnsi="Times New Roman"/>
          <w:sz w:val="18"/>
          <w:szCs w:val="18"/>
          <w:color w:val="auto"/>
        </w:rPr>
        <w:t>to initiate the multi-site Phase 1b clinical trial mid-2026. We currently anticipate that the Phase 1b program will follow a dose escalation strategy utilizing the BOIN design. The Phase 1b program is planned to enroll patients with mCRPC, NSCLC or small cell lung cancer, using [</w:t>
      </w:r>
      <w:r>
        <w:rPr>
          <w:rFonts w:ascii="Times New Roman" w:cs="Times New Roman" w:eastAsia="Times New Roman" w:hAnsi="Times New Roman"/>
          <w:sz w:val="24"/>
          <w:szCs w:val="24"/>
          <w:color w:val="auto"/>
          <w:vertAlign w:val="superscript"/>
        </w:rPr>
        <w:t>64</w:t>
      </w:r>
      <w:r>
        <w:rPr>
          <w:rFonts w:ascii="Times New Roman" w:cs="Times New Roman" w:eastAsia="Times New Roman" w:hAnsi="Times New Roman"/>
          <w:sz w:val="18"/>
          <w:szCs w:val="18"/>
          <w:color w:val="auto"/>
        </w:rPr>
        <w:t>Cu]Cu-AKY-2519 for dosimetry and imaging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therapy. Following completion of dose escalation, dose expansions are planned for mCRPC and lung cancers. The primary endpoint will be to assess safety and tolerability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Secondary endpoints will include objective response rate (as measured by RECIST v1.1), duration of response, progression-free survival, overall survival, changes in quality of life, and to characterize pharmacokinetic and pharmacodynamic profiles.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radiopharmaceutical products is highly competitive. We face and will continue to face competition from third parties that use radiopharmaceuticals and from companies focused on more traditional therapeutic modalities.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products.</w:t>
      </w:r>
    </w:p>
    <w:p>
      <w:pPr>
        <w:spacing w:after="0" w:line="7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 xml:space="preserve">We consider our most direct competitors to be companies developing targeted alpha-based radiopharmaceuticals for the treatment of cancer. There are several companies developing targeted alpha-based radiopharmaceuticals for the treatment of cancer, including Abdera Therapeutics, Actinium Pharmaceuticals, Inc., Alpha9 Oncology, Inc., Artbio AS, Bayer AG, Convergent Therapeutics, Fusion Pharmaceuticals Inc. (acquired by AstraZeneca), Johnson &amp; Johnson, Mariana Oncology, Inc. (acquired by Novartis AG), Perspective Therapeutics, POINT Biopharma Global Inc. (acquired by Eli Lilly), RadioMedix, Inc., Radionetics Oncology, RayzeBio, Inc. (acquired by Bristol Myers Squibb) and Telix Pharmaceuticals Limited. These companies are targeting a wide range of solid and hematologic malignancies using various alpha emitting isotopes, including radium-223, lead-212,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The first and only approved alpha particle-based therapy is Bayer’s Xofigo (radium-223) which is a salt of radium that cannot easily and robustly be attached to a targeting molecule, but naturally localizes to regions where cancer cells infiltrate bone. Xofigo was approved in 2013 for the treatment of prostate cancer with symptomatic bone metastases.</w:t>
      </w:r>
    </w:p>
    <w:p>
      <w:pPr>
        <w:spacing w:after="0" w:line="85"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 xml:space="preserve">There are several companies with approved beta-emitting radiopharmaceuticals, including Lantheus Holdings, Novartis, Bayer, Sirtex, Boston Scientific and Q BioMed Inc. and other companies developing beta-emitting radiopharmaceuticals, including POINT Biopharma Global (acquired by Eli Lilly), ITM Isotope Technologies Munich SE, Y-Mabs and Telix Pharmaceuticals Limited. The beta emitting isotopes used by these companies include iodine-131, </w:t>
      </w:r>
      <w:r>
        <w:rPr>
          <w:rFonts w:ascii="Times New Roman" w:cs="Times New Roman" w:eastAsia="Times New Roman" w:hAnsi="Times New Roman"/>
          <w:sz w:val="24"/>
          <w:szCs w:val="24"/>
          <w:color w:val="auto"/>
          <w:vertAlign w:val="superscript"/>
        </w:rPr>
        <w:t>177</w:t>
      </w:r>
      <w:r>
        <w:rPr>
          <w:rFonts w:ascii="Times New Roman" w:cs="Times New Roman" w:eastAsia="Times New Roman" w:hAnsi="Times New Roman"/>
          <w:sz w:val="18"/>
          <w:szCs w:val="18"/>
          <w:color w:val="auto"/>
        </w:rPr>
        <w:t>Lu, strontium-89 and yttrium-90. A recently approved beta particle-based radiopharmaceutical is Novartis’ Pluvicto, which was approved by the FDA in 2022 for the treatment of patients with metastatic prostate cancer.</w:t>
      </w:r>
    </w:p>
    <w:p>
      <w:pPr>
        <w:spacing w:after="0" w:line="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competitors will also include companies that are or will be developing other treatment methods, including those utilizing other radioisotopes, as well as therapies for the same indications in oncology that we are targeting. In addition to the competitors we face in developing radiopharmaceuticals, we will also face competition in the indications we expect to pursue. To compete effectively with these existing therapies, we will need to demonstrate that our therapies are favorable to existing therapeutics and obtain comparable coverage and reimbursement for our product candidates.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isotope supply chain logistics, manufacturing, preclinical testing, conducting clinical trials, obtaining regulatory approvals, obtaining reimbursement for and marketing of approved products than we do. Mergers and acquisitions in the biotechnology, pharmaceutical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foreign regulatory approval for their products more rapidly than we may obtain approval for ours, which could result in our competitors establishing a strong market position before we or our collaborators are able to enter the market. Even if the product candidates we may develop in the future achieve regulatory approval, they may be priced at a significant premium over competitive products if any have been approved by then, resulting in reduced competitiveness. Moreover, technological advances or products developed by our competitors may render our technologies or product candidates we may develop in the future obsolete, less competitive, or not economical. The key competitive factors affecting the success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our other current and future product candidates, if approved, are likely to be their efficacy, safety, convenience, price, the level of generic competition and the availability of reimbursement from government and other third-party payors.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protect, defend and enforce proprietary protection for our product candidates and other discoveries, inventions, trade secrets and know-how that are critical to our business operations. Our success</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also depends in part on our ability to operate without infringing, misappropriating or otherwise violating the intellectual property or proprietary rights of others, and in part on our ability to prevent others from infringing, misappropriating or violating our intellectual property or proprietary rights. A discussion of risks relating to intellectual property is provided under the section titled “Risk factors—Risks related to intellectual property.”</w:t>
      </w:r>
    </w:p>
    <w:p>
      <w:pPr>
        <w:spacing w:after="0" w:line="75" w:lineRule="exact"/>
        <w:rPr>
          <w:sz w:val="20"/>
          <w:szCs w:val="20"/>
          <w:color w:val="auto"/>
        </w:rPr>
      </w:pPr>
    </w:p>
    <w:p>
      <w:pPr>
        <w:jc w:val="both"/>
        <w:ind w:firstLine="374"/>
        <w:spacing w:after="0" w:line="226" w:lineRule="auto"/>
        <w:rPr>
          <w:sz w:val="20"/>
          <w:szCs w:val="20"/>
          <w:color w:val="auto"/>
        </w:rPr>
      </w:pPr>
      <w:r>
        <w:rPr>
          <w:rFonts w:ascii="Times New Roman" w:cs="Times New Roman" w:eastAsia="Times New Roman" w:hAnsi="Times New Roman"/>
          <w:sz w:val="18"/>
          <w:szCs w:val="18"/>
          <w:color w:val="auto"/>
        </w:rPr>
        <w:t>With respect to our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program, as of March 1, 2026, we own one pending international patent application filed under the Patent Cooperation Treaty, or a PCT Application, one issued U.S. patent, one pending U.S. non-provisional utility application and two pending foreign non-provisional patent applications in each of Taiwan and Argentina, which are directed to, among other things, composition of matter and uses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do not own or license, and do not expect to own or license, any patents or patent applications that cover the radioactive payload in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which is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The issued U.S. patent and any patents issuing from the patent applications we own or future patent applications that we may file based on these applications are expected to expire in 2044, excluding any patent term adjustments or extensions that may be available and assuming timely payment of all appropriate maintenance, renewal, annuity or other governmental fees.</w:t>
      </w:r>
    </w:p>
    <w:p>
      <w:pPr>
        <w:spacing w:after="0" w:line="101" w:lineRule="exact"/>
        <w:rPr>
          <w:sz w:val="20"/>
          <w:szCs w:val="20"/>
          <w:color w:val="auto"/>
        </w:rPr>
      </w:pPr>
    </w:p>
    <w:p>
      <w:pPr>
        <w:jc w:val="both"/>
        <w:ind w:firstLine="374"/>
        <w:spacing w:after="0" w:line="219" w:lineRule="auto"/>
        <w:rPr>
          <w:sz w:val="20"/>
          <w:szCs w:val="20"/>
          <w:color w:val="auto"/>
        </w:rPr>
      </w:pPr>
      <w:r>
        <w:rPr>
          <w:rFonts w:ascii="Times New Roman" w:cs="Times New Roman" w:eastAsia="Times New Roman" w:hAnsi="Times New Roman"/>
          <w:sz w:val="18"/>
          <w:szCs w:val="18"/>
          <w:color w:val="auto"/>
        </w:rPr>
        <w:t>With respect to our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program, as of March 1, 2026, we own one pending PCT Application, one pending U.S. non-provisional utility application, and two pending foreign non-provisional patent applications in each of Taiwan and Argentina, which are directed to, among other things, composition of matter and uses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We do not own or license any issued patents related to our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program. In addition, we do not expect to own or license any patents or patent applications that cover the radioactive payload in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Ac]Ac-AKY-2519, which is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Any patents issuing from the patent applications we own or future patent applications that we may file based on these applications are expected to expire in 2044, excluding any patent term adjustments or extensions that may be available and assuming timely payment of all appropriate maintenance, renewal, annuity or other governmental fees.</w:t>
      </w:r>
    </w:p>
    <w:p>
      <w:pPr>
        <w:spacing w:after="0" w:line="9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With respect to our platform program, as of March 1, 2026, we own one pending PCT Application, 22 pending non-provisional patent applications in each of Australia, Brazil, Canada, Chile, China, Colombia, Eurasia, Europe, Israel, India, Japan, Morocco, Mexico, Peru, Philippines, Saudi Arabia, South Africa, South Korea, Taiwan, Tunisia, United Arab Emirates, and the United States, and one pending U.S. provisional patent application. We do not own or license any issued patents related to our platform program. Any patents that issue from the patent applications we own or future patent applications that we may file based on these applications are expected to expire in 2043, 2045 and 2046, excluding any patent term adjustments or extensions that may be available and assuming timely payment of all appropriate maintenance, renewal, annuity or other governmental fees.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With respect to our discovery programs, as of March 1, 2026, we own one pending PCT Application, one pending U.S. provisional patent application, and four non-provisional patent applications (one each in China, Europe, the United States and South Africa), each of which is directed to compositions of matter and uses for miniproteins against our targets of interest. We do not own or license any issued patents related to our discovery programs. Any patents issuing from the patent applications we own or future patent applications that we may file based on these applications are expected to expire in 2043, 2044 and 2046, excluding any patent term adjustments or extensions that may be available and assuming payment of all appropriate maintenance, renewal, annuity or other governmental fees.</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U.S. provisional patent applications are not eligible to become issued patents unless and until, among other things, we file one or more non-provisional U.S., foreign, and/or PCT Applications within 12 months of the first-filed provisional application to which these non-provisional applications claim priority. With regard to such U.S. provisional patent applications, if we do not timely file any non-provisional patent applications, we will lose our priority date with respect to subject matter and inventions disclosed in these provisional patent applications. Provided no statutory bars to patentability have occurred during the 12-month pendency of the provisional patent application, the option to refile and obtain a later filing date remains open. While we intend to timely file non-provisional patent applications related to our provisional patent applications, we cannot predict whether any such patent applications will result in the issuance of patents that provide us with any competitive advantage. Further, our PCT Applications are not eligible to become patents until, among other things, we timely file national stage patent applications in jurisdictions that are party to the Patent Cooperation Treaty, and in which we seek patent protection. If we do not timely file any national stage patent applications, we may lose our priority date with respect to our PCT Applications and any patent protection on inventions disclosed in such PCT Applications.</w:t>
      </w:r>
    </w:p>
    <w:p>
      <w:pPr>
        <w:spacing w:after="0" w:line="8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proprietary nature of, and protection for, our product candidates and their methods of use are an important part of our strategy to develop and commercialize novel medicines. We have filed for or licensed patents rights relating to certain of our product candidates and are pursuing additional patent protection for them and for our other product candidates and technologies. 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confidentiality agreements can be breached, and we may not have adequate remedies for any such breach. For more information regarding the risks related to our intellectual property, see the section titled “Risk factors—Risks related to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Institute for Protein Innovation License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November 1, 2021, we and the Institute for Protein Innovation, Inc., or IPI, entered into an Exclusive License Agreement, as amended on July 26, 2022, the IPI Agreement, pursuant to which IPI granted us an exclusive, worldwide license, with the right to sublicense (subject to certain conditions), under certain of IPI’s patents and know-how related to certain binder proteins, targeting up to 14 target proteins, including Nectin-4, to research, develop, make, have made, and commercialize certain products. Pursuant to the IPI Agreement, IPI also granted us a non-exclusive license to certain intellectual property rights required to research, develop, make, have made, and commercialize certain products.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Upon execution of the IPI Agreement, we paid an upfront license fee of $0.2 million and are required to pay an annual license fee of less than $0.1 million until the first commercial sale of the first licensed product, pursuant to which we have paid an aggregate of $0.2 million through December 31, 2025. The IPI Agreement requires us to pay up to an aggregate of $24.0 million upon achievement of certain regulatory and development milestones. In addition, if we successfully commercialize a licensed product under the IPI Agreement, we are required to pay low single-digit royalties on net sales, on a product-by-product and country-by-country basis, subject to specified reductions, until the later of (a) the expiration of the last to expire valid claim covering the manufacture, use or sale of such licensed product in such country or (b) ten years after the first licensed product sale in such country. The royalties are subject to specified and capped reductions for payments owed to third parties for additional rights necessary to commercialize licensed products.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IPI Agreement requires us to use diligent and commercially reasonable efforts to develop and commercialize a licensed product.</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any time after the fifth year anniversary of the IPI Agreement, if IPI receives a third-party request to license certain rights granted to us pursuant to the IPI Agreement for which we are not actively developing or commercializing a licensed product, we must either (i) submit a commercially reasonable development plan for such undeveloped field to IPI that we will put into effect within a certain number of days, (ii) substantiate why granting a license to such rights in such undeveloped field to the third party is not in our best business interest or (iii) enter into good faith negotiations with such third party for such rights in such undeveloped field.</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Unless earlier terminated, the IPI Agreement will expire at the end of the last to expire royalty term. IPI may, at its election, either terminate the IPI Agreement, convert any of our exclusive license rights into non-exclusive rights, or choose to reduce the field or territory, if (a) the first commercial sale of a licensed product does not occur by January 1, 2035 or the payment of earned royalties, once begun, ceases for more than eight consecutive calendar quarters; (b) we default in the timely payment of any amount due or are otherwise in breach of the IPI Agreement and fail to remedy such default or breach within 30 days after written notice thereof; (c) we are found, on more than one examination, to have underreported or underpaid any royalty payment by more than five percent in any three calendar quarters in the period under examination; (d) we cease to carry on our business related to the subject matter of the licensed patents or (e) we become insolvent or file a petition regarding bankruptcy or insolvency or other certain insolvency or bankruptcy-related events occur. We may terminate the IPI Agreement in its entirety, with or without cause, upon 60 days’ written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TRIUMF License Agreement</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July 21, 2022, we and TRIUMF Inc., a Canadian non-profit, or TRIUMF, TRIUMF Innovations, Inc., a Canadian non-profit, the University of British Columbia, and BC Cancer, a provincial health services authority, entered into a License Agreement, the TRIUMF License. Pursuant to the TRIUMF License, TRIUMF, the University of British Columbia and BC Cancer, or the Licensors, granted us a non-exclusive, worldwide license, with right to sublicense (subject to certain conditions), under certain patents and know-how related to the Licensors’ chelator technology to make, use, sell, offer for sale, import, and export certain radiopharmaceutical products for the diagnosis, treatment, amelioration, and prevention of human diseases and conditions. None of our product candidates currently incorporate, or rely on, the licensed patents and know-how from the TRIUMF License.</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paid an initial license fee of $0.1 million upon execution of the TRIUMF License. The TRIUMF License requires us to pay up to an aggregate of $2.0 million upon achievement of certain regulatory and development milestones. We are also obligated to pay low single digit royalties on net sales of licensed products, on a product-by-product basis.</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licensed products not covered by a valid claim of a licensed patent, our royalty obligation terminates on the tenth anniversary of the first commercial use of such licensed product in each country.</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Unless earlier terminated, the TRIUMF License will expire on the later of the twelfth-year anniversary of the TRIUMF License or the expiry of the last patent subject to the TRIUMF License. We may terminate the TRIUMF License for convenience upon 60 days’ written notice. The Licensor may, at its option, terminate the TRIUMF License if (i) we become insolvent, cease to carry on business or other certain insolvency or bankruptcy-related events occur, (ii) we breach certain provisions (including those related to sublicenses, confidentiality, and insurance), (iii) the licensed patents and know-how become subject to any security interest, lien,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charge or encumbrance in favor of a third party through our action or (iv) there is an uncured breach by our sublicensee and we do not terminate the respective sublicense agreement. Either party may terminate the TRIUMF License for uncured breach, subject to specified cure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Minnesota License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March 3, 2023, we and the Regents of the University of Minnesota, or the University of Minnesota, entered into an Exclusive License Agreement, the Minnesota License, pursuant to which the University of Minnesota and the Stanford University, or Stanford, granted us, solely for human and veterinary uses, an exclusive license under the University of Minnesota’s and Stanford’s rights in certain patents related to certain binding proteins to make, use, sell, offer for sale, and import certain therapeutic and diagnostic products in the countries where there are licensed patents and a non-exclusive license to use licensed technical information. None of our product candidates incorporate, or rely on, the patents and know-how from the Minnesota License.</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paid an upfront fee of $0.1 million upon entering into the Minnesota License and paid an annual license fee of less than $0.1 million throughout the term of the Minnesota License, pursuant to which we have paid an aggregate of $0.4 million through September 30, 2025. No milestones were achieved under the Minnesota License prior to the termination of this agreement.</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July 2025, we provided notice to the University of Minnesota to terminate the Minnesota License and paid the $10,000 early termination fee, with an effective termination date of September 9,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 Lilly and Company License, Research and Collaboration Agreement</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16, 2024, we and Eli Lilly entered into a License, Research and Collaboration Agreement, the Collaboration Agreement. Pursuant to the Collaboration Agreement, we granted Eli Lilly an exclusive (even as to us and our affiliates), royalty-bearing, worldwide license, with the right to sublicense, to certain of our patents and other intellectual property rights to exploit certain compounds and therapeutic or diagnostic products that contain such compounds solely as products that contain a radioactive isotope. We also granted Eli Lilly a non-exclusive, royalty-bearing, worldwide license, with the right to sublicense, to the intellectual property necessary or useful to exploit the licensed compounds and licensed products solely as products that contain a radioactive isotope and a non-exclusive, fully paid-up license, with the right to sublicense, to exploit certain other intellectual property developed under the Collaboration Agreement for any and all purposes (subject to certain limitations). In addition, we and Eli Lilly agreed to negotiate in good faith to enter into a separate agreement in the event the parties agree that the clinical development of a licensed compound requires, or would be benefited by, a license to one of our other compounds.</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Collaboration Agreement, Eli Lilly may designate a specified number of initial collaboration targets, with the right to substitute other targets. We will be responsible for research activities through initial human imaging studies for a lead candidate for each selected target, and Eli Lilly will thereafter be responsible for regulatory filings, clinical development and commercialization activities worldwide. There is a separate research plan for each collaboration target, and our development costs are capped, on a research plan-by-research plan basis. Eli Lilly will reimburse our reasonable out-of-pocket costs and full-time equivalent costs incurred in excess of the cap.</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Eli Lilly paid us an upfront license fee of $60.0 million upon execution of the Collaboration Agreement. The Collaboration Agreement requires Eli Lilly to pay up to an aggregate of $525.0 million upon achievement of certain research, development, regulatory and commercial launch milestones and up to an aggregate of $630 million upon achievement of certain sales milestones. In addition, if Eli Lilly successfully commercializes a therapeutic or diagnostic product under the Collaboration Agreement, Eli Lilly is required to pay us tiered royalties of up to 10% based on annual net sales, on a product-by-product and country-by-country basis, subject to specified reductions, until the later of the expiration of licensed patent rights in a country, expiration of regulatory exclusivity, or ten years after the first product sale in such country. The Collaboration Agreement requires Eli Lilly to use commercially reasonable efforts to develop and commercialize a licensed product from a research program in certain markets and through satisfaction of certain criteria.</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Unless earlier terminated, the Collaboration Agreement will continue on a licensed product-by-licensed product and country-by-country basis until the expiration of the applicable royalty term for such licensed product. Either party may terminate the Collaboration Agreement for uncured material breach, subject to specified cure periods. In certain instances, if Eli Lilly has the right to terminate the Collaboration Agreement for our uncured material breach, Eli Lilly may, at its option, continue the Collaboration Agreement where all payments due from Eli Lilly to us, on a prospective basis, will be reduced by a specified percentage and Eli Lilly diligence and reporting obligations will end. Eli Lilly may, at any time and without cause, terminate the Collaboration Agreement in its entirety or on a collaboration target-by-collaboration target or region-by-region basis upon sixty days’ notice.</w:t>
      </w:r>
    </w:p>
    <w:p>
      <w:pPr>
        <w:spacing w:after="0" w:line="7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connection with the Collaboration Agreement, we and Eli Lilly entered into a Series A-1 redeemable convertible preferred stock purchase agreement pursuant to which we issued and sold an aggregate of 2,500,000 shares of our Series A-1 redeemable convertible preferred stock at a purchase price of $4.00 per share for aggregate net proceeds of $10.0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for licensing biologics in the U.S.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U.S., the FDA regulates biological products under the Federal Food, Drug, and Cosmetic Act, or the FDCA, the Public Health Service Act, or the PHSA, and their implementing regulations. FDA approval is required before any biological product can be marketed in the U.S. Biological products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or other consequences, including the FDA’s refusal to allow us to proceed with clinical testing, issuance of clinical holds for planned or ongoing studies, refusal to approve pending applications, license suspension or revocation, withdrawal of an approval, issuance of untitled or warning letters, product recalls, product seizures, import detentions or refusals, total or partial suspension of manufacturing or distribution, injunctions, fines, civil penalties or criminal prosecution. Any such action could have a material adverse effect on us.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U.S. generally involves the following:</w:t>
      </w:r>
    </w:p>
    <w:p>
      <w:pPr>
        <w:spacing w:after="0" w:line="117"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and nonclinical animal studies in compliance with applicable good laboratory practices, or GLP, requirements;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 in the U.S. and must be updated annually;</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representing each clinical site before each clinical trial may be initiated;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GCPs, to establish the safety and efficacy of the product candidate for each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drug substance and drug product in accordance with the FDA’s cGMP requirements, along with required analytical and stability testing;</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requesting marketing approval for one or more proposed indications, that includes sufficient evidence of establishing the safety, purity and potency of the proposed biological product for its intended indication, including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application by an FDA Advisory Committee, where appropriate and if applicable;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proposed product is produced to assess compliance with cGMPs and to assure that the facilities, methods, and controls are adequate to preserve the product’s identity, quality, and strength;</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studies and clinical trial sites to assure compliance with GLPs and GCPs, as applicable, and the integrity of data in support of the BLA;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under the Prescription Drug User Fee Act, or the PDUFA, unless exempted;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the BLA.</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investigational New Drug Application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Before testing any biological product in humans, a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biological product to humans in clinical trials in the U.S. The central focus of an IND submission is on the general investigational plan, the protocol(s) for human trials and the safety of trial participants. The IND also includes results of animal and in vitro studies assessing the toxicology, pharmacokinetics, pharmacology, and pharmacodynamic characteristics of the product; chemistry, manufacturing and controls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and any available human data or literature to support the use of the investigational product.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any time during the initial 30 day IND review period or while clinical trials are ongoing under the IND, the FDA may impose a partial or complete clinical hold. Clinical holds may be imposed by the FDA when there is concern for patient safety, and may be a result of new data, findings, or developments in clinical, nonclinical, and/or chemistry, manufacturing and controls or where there is non-compliance with regulatory requirements. A clinical hold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to be conducted, and the FDA must grant permission, either explicitly or implicitly by not objecting, before each clinical trial can begin.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the inclusion and exclusion criteria, the parameters to be used in monitoring safety, and the efficacy criteria to be evaluated. A protocol for each clinical trial and any subsequent protocol amendments must be submitted to the FDA as part of the IND.</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Additionally, approval must also be obtained from each clinical trial site’s IRB, before the trials may be initiated and the IRB must monitor the trial until completed. The IRB will consider, among other things, clinical trial design, patient informed consent, ethical factors, the safety of human subjects and the possible liability of the institution. There are also requirements governing the reporting of ongoing clinical trials and clinical trial results to public registries, including on clinicaltrials.gov.</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clinical investigation of a biological product is generally divided into three or four phases. Although the phases are usually conducted sequentially, they may overlap or be combined.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Phase 1. The investigational product is initially introduced into healthy human subjects or, in the case of some products designed to address severe or life-threatening diseases, patients with the target disease or condition. These trials are designed to evaluate the safety, dosage tolerance, metabolism and pharmacologic actions of the investigational product in humans, the side effects associated with increasing doses, and if possible, to gain early evidence on effectiveness.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Phase 2. The investigational product is administered to a limited patient population to evaluate dosage tolerance and optimal dosage, identify possible adverse side effects and safety risks, and preliminarily evaluate efficacy.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Phase 3. The investigational product is administered to an expanded patient population, generally at geographically dispersed clinical trial sites to generate enough data to statistically evaluate safety, purity and potency, to evaluate the overall benefit-risk profile of the investigational product, and to provide an adequate basis for physician labeling.</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Phase 4. In some cases, the FDA may condition approval of a BLA for a product candidate on the sponsor’s agreement to conduct additional clinical trials after approval or a sponsor may voluntarily conduct additional clinical trials after approval to gain more information about the biological product. Such post-approval trials are typically referred to as Phase 4 clinical trials.</w:t>
      </w:r>
    </w:p>
    <w:p>
      <w:pPr>
        <w:spacing w:after="0" w:line="6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and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sponsor of an investigational biological product for a serious disease or condition is required to make available, such as by posting on its website, its policy on evaluating and responding to requests for individual patient access to such investigational biological product. This requirement applies on the earlier of the first initiation of a Phase 2 or Phase 3 trial of the investigational biological product or, as applicable, 15 days after the biological product receives a designation as a breakthrough therapy or fast track product.</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development of a new biologic, sponsors are given opportunities to meet with the FDA at certain points. These points may be prior to submission of an IND, at the end of Phase 1,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detailed investigational product information is submitted to the FDA in the form of a BLA requesting approval to market the product for one or more indications. Under federal law, the submission of most BLAs is subject to an application user fee, and the sponsor of an approved BLA is also subject to an annual program fee for each approved biological product on the market. Applications for orphan drug products are exempted from the BLA application fee and may be exempted from program fees, unless the application includes an indication for other than a rare disease or condition.</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BLA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product to the satisfaction of the FDA.</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FDA conducts a preliminary review of all BLAs within the first 60 days after submission before accepting them for filing to determine whether they are sufficiently complete to permit substantive review. The FDA may request additional information rather than accept an application for filing. Under the performance goals and policies implemented by the FDA under PDUFA, once a BLA has been submitted, the FDA’s goal for novel biological products generally is to review the application within ten months after it accepts the application for filing, or, if the application is granted priority review, six months after the FDA accepts the application for filing. The FDA does not always meet its PDUFA goal dates, and the review process may be extended. For example, the review process and the PDUFA goal date may be extended by three months if the FDA requests or if the applicant otherwise provides additional data, analysis or information that FDA deems a major amendment.</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the sponsor and one or more clinical sites to assure compliance with GCPs. Material changes in manufacturing equipment, location, or process post-approval, may result in additional regulatory review and approval.</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inspections of nonclinical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the FDA determines the product meets those standards, it may issue an approval letter authorizing commercial marketing of the biological product with specific prescribing information for specific indications. If the application is not approved, FDA will issue a complete response letter, which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does not satisfy the criteria for approval and issue a denial.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could also approve the BLA with a Risk Evaluation and Mitigation Strategy, or REMS, program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14 F.4th 1299 (11th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Catalyst order and will continue tying the scope of orphan-drug exclusivity to the uses or indications for which a drug is approved. It is unclear how future litigation, legislation, agency decisions, and administrative actions will impact the scope of orphan drug exclusivity.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candidate with a fast track designation and/or breakthrough therapy designation, may be eligible for other types of FDA programs intended to expedite development and review, such as priority review. An application for a biological product will receive priority review designation if it is for a biological product that treats a serious condition and, if approved, would provide a significant improvement in safety or effectiveness.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Product candidates studied for their safety and effectiveness in treating serious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or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biologic or indication approved under accelerated approval if, for example, the sponsor fails to conduct the required post-marketing studies or if such studies fail to verify the predicted clinical benefit. In addition, for products being considered for accelerated approval, the FDA generally requires, unless otherwise informed by the FDA, that all advertising and promotional materials intended for dissemination or publication within 120 days of marketing approval be submitted to FDA for review during the pre-approval period. After 120 days following marketing approval, unless otherwise informed by the FDA, advertising and promotional materials must be submitted at least 30 days prior to the intended time of initial dissemination or publication.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Optimus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2021, the FDA’s Oncology Center of Excellence launched Project Optimus, an initiative to reform the dose optimization and dose selection paradigm in oncology drug development to emphasize selection of an optimal dose, which is a dose that maximizes not only the efficacy of a drug but also its safety and tolerability.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Project Optimus was driven by the FDA’s concerns that the historical approach to dose selection, which generally determined the maximum tolerated dose, may have resulted in doses and schedules of molecularly targeted therapies that were inadequately characterized before the initiation of pivotal trials.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Project Optimus requires the implementation of strategies for dose finding and dose optimization that leverage nonclinical and clinical data in dose selection, including randomized evaluations of a range of doses in trials. This initiative emphasizes the performance of dose finding and dose optimization studies as early and efficiently as possible in development programs. In support of this initiative, the FDA may request sponsors of oncology product candidates to conduct dose optimization studies.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dosage forms, indications or other labeling claims, are subject to prior FDA review and approval.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Biological product manufacturers are required to register their establishments with the FDA and certain state agencies and are subject to periodic unannounced inspections for compliance with cGMPs.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Manufacturers and manufacturers’ facilities are also required to comply with applicable product tracking and tracing requirements and notify the FDA of counterfeit, diverted, stolen and intentionally adulterated products or products that are otherwise unfit for distribution in the U.S. Accordingly, manufacturers must continue to expend time, money and effort in the area of production and quality control to maintain compliance with cGMP and other aspects of regulatory compliance.</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Until we are able to establish our own cGMP manufacturing facility, we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may suspend or revoke product license approvals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FDA has authority to require post-market studies, in certain circumstances, on reduced effectiveness of a biological product and FDA may require labeling changes related to new reduced effectiveness information. Other potential consequences of a failure to maintain regulatory compliance include, among other things:</w:t>
      </w:r>
    </w:p>
    <w:p>
      <w:pPr>
        <w:spacing w:after="0" w:line="6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clinical holds on ongoing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approved BLAs;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or the imposition of civil or criminal penalties.</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 products, including biological products. These regulations include, among other things, standards and regulations for direct-to- consumer advertising, communications 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only make those claims relating to safety, efficacy, purity and potency that are consistent with the biological product’s approved label. Additionally, promotional materials for prescription drug products must be submitted to the FDA in conjunction with their first use.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U.S., healthcare professionals are generally permitted to prescribe legally available drugs for uses that are not described in the product’s labeling and that differ from those approved by the FDA. The FDA does not regulate the practice of medicine or healthcare providers’ choice of treatments; however, FDA restricts manufacturers’ communications of off-label uses. 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trials and exclusivity</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Generally,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The FDA may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U.S. and, if granted for a biologic, provides for the attachment of an additional six months of marketing protection to the term of any existing regulatory exclusivity for all formulations, dosage forms, and indications of the biologic, including the five-year and three-year non-patent and orphan exclusivity. This six-month exclusivity may be granted if a BLA sponsor submits pediatric data that fairly respond to a written request from the FDA for such data, provided that at the 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sponsor’s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Regulation of diagnostic patient selection tool</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believe that the success of certain of our product candidates may depend, in part, on the development and commercialization of an imaging agent that will serve, where needed, as a patient selection tool. This diagnostic imaging agent is subject to FDA regulation, review, and approval in the same manner as the therapeutic biological products we are seeking to develop and commercialize and are subject to the same risks.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Union/rest of world government regulation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must be submitted for each clinical protocol to each country’s national health authority and an independent ethics committee, much like the FDA and IRB, respectively. Under the EU Clinical Trials Regulation, this is now done through a single application submitted through the Clinical Trials Information System, or CTIS, as described in more detail below.</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 medicinal product under European Union regulatory systems, we must submit a marketing authorization application. The content of the BLA filed in the U.S. is similar to that required in the European Union, with the exception of, among other things, country-specific document requirements.</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Countries that are part of the European Union, as well as countries outside of the European Union, have their own governing bodies, requirements, and processes with respect to the approval of biological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 in the European Union</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April 2014, the European Union adopted the Clinical Trials Regulation (EU) No 536/2014, which replaced the Clinical Trials Directive 2001/20/EC on January 31, 2022. The Clinical Trials Regulation is directly applicable in all European Union Member States meaning no national implementing legislation in each European Union Member State is required. The Clinical Trials Regulation aims to simplify and streamline the approval of clinical trials in the European Union. The main characteristics of the regulation include: a streamlined application procedure via a single-entry point, through the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procedures in the European Union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Medicines can be authorized in the European Union by using either the centralized authorization procedure or national authorization procedures.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European Commission implemented the centralized procedure for the approval of human medicines to facilitate marketing authorizations that are valid throughout the European Economic Area, or the EEA, which is comprised of the Member States of the European Union plus Norway, Iceland, and Lichtenstein. The centralized procedure is administered by the European Medicines Agency, or EMA, and is compulsory for human medicines that are: derived from certain biotechnology processes, such as genetic engineering, contain a new active substance indicated for the treatment of certain diseases, such as HIV, AIDS, cancer, diabetes, neurodegenerative disorders or autoimmune diseases and other immune dysfunctions, advanced therapy medicines (gene therapy, somatic cell therapy or tissue-engineered medicines), and officially designated orphan medicines.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medicines that do not fall within these categories, an applicant has the option of submitting an application for a centralized marketing authorization to the EMA, as long as the medicine concerned contains a new active substance not yet authorized in the European Union, is a significant therapeutic, scientific or technical innovation, or if its authorization would be in the interest of public health in the European Union.</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or the CHMP, is responsible for conducting the initial assessment of a product and for several post-authorization and maintenance activities, such as the assessment of modifications or extensions to an existing marketing authorization. 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clock stops, but it is possible that the CHMP can revert to the standard time limit for the centralized procedure if it considers that it is no longer appropriate to conduct an accelerated assessment.</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Pediatric Committee of the EMA, or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European Union, innovative medicinal products approved on the basis of a complete and independent data package qualify for eight years of data exclusivity upon marketing authorization and an additional two years of market exclusivity. This data exclusivity, if granted, prevents regulatory authorities in the European Union from referencing the innovator’s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European Union law.</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aforementioned European Union rules are generally applicable in the EEA.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United Kingdom, or UK, formally left the European Union on January 31, 2020, and the European Union and the UK have concluded a trade and cooperation agreement, or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provide for wholesale mutual recognition of UK and EU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likely that these regimes will diverge significantly in the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a new international recognition procedure which was put in place by the Medicines and Healthcare products Regulatory Agency, or the MHRA, on January 1, 2024, the MHRA may take into account decisions on the approval of a marketing authorization from the EMA (and certain other regulators) when considering an application for a Great Britain marketing authorization.</w:t>
      </w:r>
    </w:p>
    <w:p>
      <w:pPr>
        <w:spacing w:after="0" w:line="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bring it into law. On June 9, 2023, the MHRA announced that the medicines aspects of the Windsor Framework will apply from January 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U.S. and foreign markets, sales of any products for which we may receive regulatory approval for commercial sale will depend in part on the availability of coverage and reimbursement for our products from third-party payors, such as government healthcare programs (e.g., Medicare, Medicaid), managed care organizations,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patients depending on government or commercial insurance to pay for the costs of prescription medications and other medical products.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U.S., the principal decisions about reimbursement for new medicines are typically made by the CMS, an agency within the HHS. CMS decides whether and to what extent products will be covered and reimbursed under Medicare and private payors tend to follow CMS to a substantial degree. Third-party payors may also limit coverage to specific products on an approved list, or formulary, which might not include all of the FDA-approved products for a particular indication.</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these products and related treatments will be available from third-party payors, including government healthcare programs (e.g., Medicare, Medicaid), managed care organizations, private health insurers, health maintenance organizations, and other organizations. Moreover, a payor’s decision to provide coverage for a drug product does not imply that an adequate reimbursement rate will be approved.</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drug products exists among third-party payors. Therefore, coverage and reimbursement for drug products can differ significantly from payor to payor. One payor’s determination to provide coverage for a product does not assure that other payors will also provide coverage and reimbursement for the product, and the level of coverage and reimbursement can differ significantly from payor to payor. Third-party payors are increasingly challenging pharmaceutical prices and examining the medical necessity and cost- 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utilization once the product is approved and have a material adverse effect on sales, our operations and financial condition.</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 the process for determining whether a payor will provide coverage for a product may be separate from the process for setting the reimbursement rate that the payor will pay for the product. A payor’s decision to provide coverage for a drug product does not imply that an adequate reimbursement rate will be approved. Even if we obtain coverage for a given product, the resulting reimbursement payment rates might not be adequate for us to achieve or sustain profitability or may require co-payments that patients find unacceptably high.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impacted by any future relaxation of laws that presently restrict imports of drugs from countries where they may be sold at lower prices than in the U.S. In addition, many pharmaceutical manufacturers must calculate and report certain price reporting metrics to the government, such as average sales price and best price. Penalties may apply in some cases when such metrics are not submitted accurately and timely.</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third-party payors fail to provide adequate coverage and reimbursement. In addition, emphasis on managed care in the U.S.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U.S. Healthcare Laws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for which we obtain marketing approval. Arrangements with third-party payors, healthcare providers and physicians, as well as patients and other third parties, in connection with the clinical research, sales, marketing and promotion of products, once approved, and related activities, may expose a pharmaceutical manufacturer to broadly applicable fraud and abuse and other healthcare laws and regulations. In the U.S., these laws include, without limitation, state and federal anti-kickback, false claims, transparency, consumer protection, and patient data privacy and cybersecurity laws and regulations, including but not limited to those described below:</w:t>
      </w:r>
    </w:p>
    <w:p>
      <w:pPr>
        <w:spacing w:after="0" w:line="79" w:lineRule="exact"/>
        <w:rPr>
          <w:sz w:val="20"/>
          <w:szCs w:val="20"/>
          <w:color w:val="auto"/>
        </w:rPr>
      </w:pPr>
    </w:p>
    <w:p>
      <w:pPr>
        <w:jc w:val="both"/>
        <w:ind w:left="760" w:hanging="378"/>
        <w:spacing w:after="0" w:line="253"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or AKS, makes it illegal for any person or entity,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in whole or in part, under a federal healthcare program, such as the Medicare and Medicaid programs. The term “remuneration” has been broadly interpreted to include anything of value. The AKS has been interpreted to apply to arrangements between pharmaceutical manufacturers on one hand and prescribers, purchasers, patients, and formulary managers on the other. A person or entity does not need to have actual knowledge of the statute or specific intent to violate it in order to have committed a violation. Further, courts have found that if “one purpose” of remuneration is to induce referrals, the AKS is violated. In addition, the government may assert that a claim including items or services resulting from a violation of the AKS constitutes a false or fraudulent claim for purposes of the federal False Claims Act, or FCA.</w:t>
      </w:r>
    </w:p>
    <w:p>
      <w:pPr>
        <w:spacing w:after="0" w:line="8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impose criminal and civil penalties against individuals or entities for, among other things, knowingly presenting, or causing to be presented, claims for payment or approval from Medicare, Medicaid, or other federal or state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The FCA also permits a private individual acting as a whistleblower to bring actions on behalf of the federal government alleging violations of the FCA and to share in any monetary recovery. Manufacturers can be held liable under the federal False Claims Act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kickbacks to providers or patients or causing false claims to be submitted because of the companies’ marketing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product for unapproved, off-label, and thus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760" w:right="20"/>
        <w:spacing w:after="0" w:line="282" w:lineRule="auto"/>
        <w:rPr>
          <w:sz w:val="20"/>
          <w:szCs w:val="20"/>
          <w:color w:val="auto"/>
        </w:rPr>
      </w:pPr>
      <w:r>
        <w:rPr>
          <w:rFonts w:ascii="Times New Roman" w:cs="Times New Roman" w:eastAsia="Times New Roman" w:hAnsi="Times New Roman"/>
          <w:sz w:val="18"/>
          <w:szCs w:val="18"/>
          <w:color w:val="auto"/>
        </w:rPr>
        <w:t>generally non-reimbursable, uses. Similar to the AKS, a person or entity does not need to have actual knowledge of these statutes or specific intent to violate them in order to have committed a violation.</w:t>
      </w:r>
    </w:p>
    <w:p>
      <w:pPr>
        <w:spacing w:after="0" w:line="54" w:lineRule="exact"/>
        <w:rPr>
          <w:sz w:val="20"/>
          <w:szCs w:val="20"/>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which covers a variety of conduct, often violations under other laws, and includes penalties for violating the AKS, causing the submission of false claims, and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of 2009, or HITECH, and their respective implementing regulations, imposes criminal and civil liability for knowingly and willfully executing, or attempting to execute, a scheme to defraud any healthcare benefit program (e.g., public or private) or making any false, fictitious or fraudulent statements in connection with the delivery of, or payment for, healthcare benefits, items or services relating to healthcare matters. Like the AKS, the Patient Protection and Affordable Care Act, or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also imposes requirements related to the privacy, security and transmission of individually identifiable health information that may apply to many healthcare providers, physicians, and third-party payors with whom we interact.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manufacturers of drugs, devices, biologics and medical supplies for which payment is available under Medicare, Medicaid or the Children’s Health Insurance Program, with specific exceptions, to report annually to CMS, under the Open Payments Program, information related to payments or other transfers of value made to physicians (which has the same meaning as under Section 1861(r) of the Social Security Act, which generally includes doctors of medicine, osteopathy, dentists, optometrists, podiatrists and chiropractors who are legally authorized to practice by a state), to certain non-physician providers such as physician assistants and nurse practitioners, and to teaching hospitals, as well as ownership and investment interests held by physicians and their immediate family members.</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certain calculated product prices to the government or provide certain discounts or rebates to government authorities or private entities, often as a condition of reimbursement under governmental healthcare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 The scope and enforcement of each of these laws is uncertain and subject to rapid change in the current environment of healthcare reform. In addition, commercialization of any drug product outside the U.S. will also likely be subject to foreign equivalents of the healthcare laws mentioned above, among other foreign laws.</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the future. If our operations are found to be in violation of any of such laws or any other governmental regulations that apply to us, we may be subject to, on a corporate or individual basis, penalties, including civil and criminal penalties, damages, fines, the curtailment or restructuring of our operations, the exclusion from participation in federal and state healthcare programs and even imprisonment, any of which could materially adversely affect our ability to operate our business and our financial results. In addition, the cost of implementing sufficient systems, controls, and processes to ensure compliance with all of the aforementioned laws could be significant. Any action for violation of these laws, even if successfully defended, could cause us to incur significant legal expenses and divert management’s attention from the operation of the company’s business. If any of the physicians or other healthcare providers or entities with whom we expect to do business is found noncompliant with applicable laws, that person or entity may be subject to criminal, civil or administrative sanctions, including exclusions from government funded healthcare programs.</w:t>
      </w:r>
    </w:p>
    <w:p>
      <w:pPr>
        <w:spacing w:after="0" w:line="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our business may be impaired.</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data privacy and cybersecurity obligations, such as various laws, regulations, guidance, industry standards, external and internal privacy and security policies, contractual requirements, and other obligations relating to data privacy and cybersecurity.</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Additionally, a smaller number of states have passed or are considering laws governing the privacy of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data privacy and cybersecurity laws may impact our business activities, including our identification of research subjects, relationships with business partners and ultimately the marketing and distribution of our products.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Additionally, to the extent we collect personal information from individuals outside of the United States, through clinical trials or otherwise, we are, or may become, subject to foreign data privacy and security laws, such as the European Union’s General Data Protection Regulation 2016/679 (or EU GDPR) and other national data protection legislation in force in relevant EEA Member States, and the EU GDPR as it forms part UK law by virtue of section 3 of the European Union (Withdrawal) Act 2018 (or UK GDPR). Foreign data privacy and cybersecurity laws impose significant and complex compliance obligations on entities that are subject to those laws, as more fully discussed in the section titled “Risk Factors—Risks related to government regulation”.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Future U.S. Healthcare Reform Legislation</w:t>
      </w:r>
    </w:p>
    <w:p>
      <w:pPr>
        <w:spacing w:after="0" w:line="121"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and innovative technologies, such as pharmaceutical products like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In both the U.S. and certain foreign jurisdictions, there have been a number of legislative and regulatory changes to the health care system that could impact our ability to sell products profitably.</w:t>
      </w:r>
    </w:p>
    <w:p>
      <w:pPr>
        <w:spacing w:after="0" w:line="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By way of example, the U.S. and state governments continue to propose and pass legislation designed to reduce the cost of healthcare. In March 2010, the ACA, was enacted, which, among other things,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the Medicare Part D coverage gap discount program, in which manufacturers agree to provide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Current laws, as well as other healthcare reform measures that may be adopted in the future, may result in more rigorous coverage criteria and in additional downward pressure on the price for any approved products.</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and continue to be, numerous judicial, administrative, executive, and legislative challenges to certain aspects of the ACA, and there could be additional amendments to the ACA in the future. It is unclear whether the ACA will be overturned, repealed, replaced, or further amended. We cannot predict what effect further changes to the ACA would have on our business.</w:t>
      </w:r>
    </w:p>
    <w:p>
      <w:pPr>
        <w:spacing w:after="0" w:line="6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Additionally, there have been several U.S. congressional inquiries and proposed federal and proposed and enacted state legislation designed to, among other things, bring more transparency to drug pricing, review the relationship between pricing and manufacturer patient support programs, reduce the costs of drugs under Medicare and reform government program reimbursement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methodologies for drug products. For example, on August 16, 2022, the Inflation Reduction Act of 2022, or IRA, was signed into law by President Biden. The IRA includes several provisions that may impact pharmaceutical companies to varying degrees, including provisions that create a $2,000 out-of-pocket cap for Medicare Part D beneficiaries; impose new manufacturer financial liability on all drugs in Medicare Part D; allow the U.S. government to negotiate Medicare Part B and Part D pricing caps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Generally, these government prices can apply as soon as nine years (for small-molecule drugs) or 13 years (for biological products) from their FDA approval and will be capped at a statutory ceiling price that is likely to represent a significant discount from average prices to wholesalers and direct purchasers. The implementation of the IRA is currently subject to ongoing litigation that challenges the constitutionality of the IRA’s Medicare drug price negotiation program. The full impact of the IRA on our business and the pharmaceutical and healthcare industry in general is not yet known.</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we had 79 full-time employees. Of these employees, 67 are engaged in research and development and 12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labor unions or covered by collective bargaining agreements. We consider our relationship with our employees to be good.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were originally incorporated under the laws of the State of Delaware in August 2020 under the name HotKnot Therapeutics, Inc. We changed our name to Aktis Oncology, Inc. in April 2021. Our principal executive offices are located at 17 Drydock Avenue, Suite 17-401, Boston, Massachusetts 02210 and our telephone number is (617) 461-4023.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file electronically with the Securities and Exchange Commission, the SEC, our annual reports on Form 10-K, quarterly reports on Form 10-Q, current reports on Form 8-K, proxy statements and other information. Our SEC filings are available to the public over the Internet at the SEC’s website at http://www.sec.gov. Our website address is https://www.aktisoncology.com. We make available on our website, under “Investors,” free of charge, copies of these reports as soon as reasonably practicable after filing or furnishing these reports with the SEC. The information contained in, or accessible through, our website does not constitute a part of this Annual Report.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as well as the other information in this Annual Report, including our consolidated financial statements and the related notes appearing elsewhere in this Annual Report and the sections of this Annual Report titled “Special Note Regarding Forward-Looking Statements” and “Management’s Discussion and Analysis of Financial Condition and Results of Operations” before you make an investment decision in our common stock. The risks described below are not the only risks that we face. The occurrence of any of the following risks, or of additional risks and uncertainties not presently known to us or that we currently believe to be immaterial, could materially and adversely affect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have no products approved for sale, and we expect to incur losses for the foreseeable future.</w:t>
      </w:r>
    </w:p>
    <w:p>
      <w:pPr>
        <w:spacing w:after="0" w:line="121"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Development of radiopharmaceutical product candidates is a highly speculative undertaking and involves a substantial degree of risk. We are still in the early stages of development of our product candidates and 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is being evaluated in a Phase 1b clinical trial for locally advanced or metastatic urothelial cancer, or UC, and other Nectin-4 expressing tumors. We have no products licensed for commercial sale and have not generated any revenues from product sales to date, and we continue to incur significant research and development and other expenses related to our ongoing operations. As such, we have incurred significant losses since inception, and have financed our operations principally through equity financings. We expect that it will be several years, if ever, before we have a commercialized product candidate and generate revenue from sales.</w:t>
      </w:r>
    </w:p>
    <w:p>
      <w:pPr>
        <w:spacing w:after="0" w:line="90" w:lineRule="exact"/>
        <w:rPr>
          <w:sz w:val="20"/>
          <w:szCs w:val="20"/>
          <w:color w:val="auto"/>
        </w:rPr>
      </w:pPr>
    </w:p>
    <w:p>
      <w:pPr>
        <w:jc w:val="both"/>
        <w:ind w:firstLine="430"/>
        <w:spacing w:after="0" w:line="282" w:lineRule="auto"/>
        <w:rPr>
          <w:sz w:val="20"/>
          <w:szCs w:val="20"/>
          <w:color w:val="auto"/>
        </w:rPr>
      </w:pPr>
      <w:r>
        <w:rPr>
          <w:rFonts w:ascii="Times New Roman" w:cs="Times New Roman" w:eastAsia="Times New Roman" w:hAnsi="Times New Roman"/>
          <w:sz w:val="18"/>
          <w:szCs w:val="18"/>
          <w:color w:val="auto"/>
        </w:rPr>
        <w:t>Our net losses for the years ended December 31, 2025 and 2024 were $63.7 million and $44.0 million, respectively. As of December 31, 2025, we had an accumulated deficit of $156.6 million. We anticipate that our expenses and operating losses will increase substantially as we:</w:t>
      </w:r>
    </w:p>
    <w:p>
      <w:pPr>
        <w:spacing w:after="0" w:line="6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through clinical trials;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second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B7-H3 expressing tumors, into clinical trials;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miniprotein radioconjugate platform;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targeting molecules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investigational new drug, or IND,-enabling preclinical studies for our other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studies for our other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partnerships with domestic and international isotope suppliers to create redundancies in our supply chain;</w:t>
      </w:r>
    </w:p>
    <w:p>
      <w:pPr>
        <w:spacing w:after="0" w:line="1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scale up our supply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and other radioisotopes;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manufacturing capabilities through additional in-house facilities and expertise, as well as additional third party contractors to enable global commercial scale;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third parties to manufacture our lead product candidate;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pre-commercial activities to enhance commercialization prospects for any current or future product candidates that we may seek to obtain regulatory approval for;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 and</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radiopharmaceutical therapies, we are unable to accurately predict the timing or amount of increased expenses.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For example, if we are required by the United States Food and Drug Administration, or FDA, or comparable foreign regulatory authorities to perform studies or clinical trials in addition to those we currently anticipate, or if there are any delays in commencing or completing our clinical trials or the development of any product candidates, our expenses could increase and commercial revenue could be further delayed and more uncertain, which will adversely affect our business. We may not be successful in navigating these challenges, which may adversely affect our business,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our prospects and likelihood of success.</w:t>
      </w:r>
    </w:p>
    <w:p>
      <w:pPr>
        <w:spacing w:after="0" w:line="121"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7"/>
          <w:szCs w:val="17"/>
          <w:color w:val="auto"/>
        </w:rPr>
        <w:t>We have a limited operating history upon which you can evaluate our business and prospects. Since our inception in August 2020, we have devoted substantially all our resources and efforts to organizing and staffing our company, business planning, raising capital, conducting discovery and research activities, filing patent applications, identifying potential product candidates, undertaking preclinical studies, in-licensing technology, building out our manufacturing facility and establishing arrangements with third parties for the supply and manufacture of our product candidates and component materials. We have commenced a multi-site Phase 1b clinical trial in the United States to evaluate our lead product candidate, [</w:t>
      </w:r>
      <w:r>
        <w:rPr>
          <w:rFonts w:ascii="Times New Roman" w:cs="Times New Roman" w:eastAsia="Times New Roman" w:hAnsi="Times New Roman"/>
          <w:sz w:val="23"/>
          <w:szCs w:val="23"/>
          <w:color w:val="auto"/>
          <w:vertAlign w:val="superscript"/>
        </w:rPr>
        <w:t>225</w:t>
      </w:r>
      <w:r>
        <w:rPr>
          <w:rFonts w:ascii="Times New Roman" w:cs="Times New Roman" w:eastAsia="Times New Roman" w:hAnsi="Times New Roman"/>
          <w:sz w:val="17"/>
          <w:szCs w:val="17"/>
          <w:color w:val="auto"/>
        </w:rPr>
        <w:t>Ac]Ac-AKY-1189, for the treatment of locally advanced or metastatic UC and other Nectin-4 expressing tumors. We have not yet demonstrated our ability to successfully complete any clinical trials, obtain regulatory approvals, manufacture a commercial scale product supply, or arrange for a third party to do so on our behalf, or conduct sales and marketing activities necessary for successful commercialization. Additionally, we expect our financial condition and operating results to continue to fluctuate significantly from period to period due to a variety of factors, many of which are beyond our control. Such factors include, among other things, the timing of, cost of, and level of investment in, research, development, and commercialization activities, which could vary over time. Consequently, any predictions you may make about our future success or viability may not be as accurate as they could be if we had a longer operating history.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as a young business, we may encounter unforeseen expenses, difficulties, complications, delays and other known and unknown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need to transition at some point from a company with a research and development focus to a company capable of supporting commercial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successful in such a transition.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to finance operations. If we are unable to raise capital when needed, or on acceptable terms, we would be forced to delay, reduce, or eliminate our research and product candidate development programs.</w:t>
      </w:r>
    </w:p>
    <w:p>
      <w:pPr>
        <w:spacing w:after="0" w:line="51" w:lineRule="exact"/>
        <w:rPr>
          <w:sz w:val="20"/>
          <w:szCs w:val="20"/>
          <w:color w:val="auto"/>
        </w:rPr>
      </w:pPr>
    </w:p>
    <w:p>
      <w:pPr>
        <w:jc w:val="both"/>
        <w:ind w:firstLine="374"/>
        <w:spacing w:after="0" w:line="231" w:lineRule="auto"/>
        <w:rPr>
          <w:sz w:val="20"/>
          <w:szCs w:val="20"/>
          <w:color w:val="auto"/>
        </w:rPr>
      </w:pPr>
      <w:r>
        <w:rPr>
          <w:rFonts w:ascii="Times New Roman" w:cs="Times New Roman" w:eastAsia="Times New Roman" w:hAnsi="Times New Roman"/>
          <w:sz w:val="18"/>
          <w:szCs w:val="18"/>
          <w:color w:val="auto"/>
        </w:rPr>
        <w:t>Developing radiopharmaceutical product candidates, including conducting preclinical studies and clinical trials, is a very time-consuming, capital-expensive, and uncertain process that takes years to complete. We have commenced a multi-site Phase 1b clinical trial in the United States to evaluate our lead program,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locally advanced or metastatic UC and other Nectin-4 expressing tumors and are preparing to commence a Phase 1b clinical trial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We are also evaluating multiple current product candidates in preclinical studies. We expect our expenses to increase substantially in connection with our ongoing activities, particularly as we continue the research and development of, advance the preclinical and clinical activities of, and seek regulatory approval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from the FDA and other foreign regulatory authorities, as well as our other product candidates. In addition, if we obtain regulatory approval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 or our other product candidates, we expect to incur significant commercialization expenses related to sales, marketing, manufacturing and distribution to the extent that such sales, marketing, manufacturing and distribution are not the responsibility of our collaborators. We may also need to raise additional funds sooner if our preclinical and clinical activities take longer than expected, as a result of regulatory approvals or otherwise, or if we choose to pursue additional indications and geographies for any of our product candidates or otherwise expand more rapidly than we presently anticipate.</w:t>
      </w:r>
    </w:p>
    <w:p>
      <w:pPr>
        <w:spacing w:after="0" w:line="9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programs, and may be unable to expand our operations or otherwise capitalize on our business opportunities, as desired, which could materially affect our business, financial condition, results of operations and prospects.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2025, we had $226.8 million in cash, cash equivalents and marketable securities. Based on our current business plans, we believe that our existing cash, cash equivalents and marketable securities, together with the net proceeds of approximately $335.3 million from our initial public offering completed in January 2026, will be sufficient to fund our operating expenses and capital expenditure requirements into 2029. We have based this estimate on assumptions that may prove to be wrong, and we could use our capital resources sooner than we currently expect, requiring us to seek additional funds sooner than planned, through public or private equity or debt financings or other sources, such as strategic collaborations. Our failure to raise capital or enter into such other arrangements when needed would have a negative impact on our financial condition and could force us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delay, limit, reduce or terminate clinical trials, our research and development programs or other operations, or lead us to grant rights to third parties to develop and market product candidates that we would otherwise prefer to develop and market ourselves. In addition, we may seek additional capital opportunistically due to favorable market conditions or strategic considerations even if we believe we have sufficient funds for our current or future operating plans. Attempting to secure additional financing may divert our management from our day-to-day activities. See “Management’s discussion and analysis of financial condition and results of operations—Liquidity and capital resources.”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because of many factors including:</w:t>
      </w:r>
    </w:p>
    <w:p>
      <w:pPr>
        <w:spacing w:after="0" w:line="12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clinical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w:t>
      </w:r>
    </w:p>
    <w:p>
      <w:pPr>
        <w:spacing w:after="0" w:line="75" w:lineRule="exact"/>
        <w:rPr>
          <w:rFonts w:ascii="Times New Roman" w:cs="Times New Roman" w:eastAsia="Times New Roman" w:hAnsi="Times New Roman"/>
          <w:sz w:val="18"/>
          <w:szCs w:val="18"/>
          <w:color w:val="auto"/>
        </w:rPr>
      </w:pPr>
    </w:p>
    <w:p>
      <w:pPr>
        <w:ind w:left="760" w:hanging="378"/>
        <w:spacing w:after="0" w:line="233"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planned clinical trials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B7-H3 expressing tumors and our other future product candidates;</w:t>
      </w:r>
    </w:p>
    <w:p>
      <w:pPr>
        <w:spacing w:after="0" w:line="9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advancing and furthering our miniprotein radioconjugate platform;</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operating and maintaining our manufacturing facility, or securing other manufacturing arrangements for clinical-supply and commercial production;</w:t>
      </w:r>
    </w:p>
    <w:p>
      <w:pPr>
        <w:spacing w:after="0" w:line="6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and availability of sufficient supply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and other radioisotopes;</w:t>
      </w:r>
    </w:p>
    <w:p>
      <w:pPr>
        <w:spacing w:after="0" w:line="6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by us or our collaborators under any current or future collaboration agreements;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oncology indications and other adverse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protecting,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23" w:lineRule="exact"/>
        <w:rPr>
          <w:rFonts w:ascii="Times New Roman" w:cs="Times New Roman" w:eastAsia="Times New Roman" w:hAnsi="Times New Roman"/>
          <w:sz w:val="18"/>
          <w:szCs w:val="18"/>
          <w:color w:val="auto"/>
        </w:rPr>
      </w:pPr>
    </w:p>
    <w:p>
      <w:pPr>
        <w:ind w:left="760" w:hanging="378"/>
        <w:spacing w:after="0" w:line="233"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tumors or any other current or future product candidates.</w:t>
      </w:r>
    </w:p>
    <w:p>
      <w:pPr>
        <w:spacing w:after="0" w:line="9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to date and may never be profitable.</w:t>
      </w:r>
    </w:p>
    <w:p>
      <w:pPr>
        <w:spacing w:after="0" w:line="121"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We do not expect to generate significant product revenue unless or until we successfully complete clinical development and obtain regulatory approval of, and then successfully commercialize, at least one of our product candidates. Other than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which is in a Phase 1b clinical trial for the treatment of locally advanced or metastatic UC and other Nectin-4 expressing tumors, all of our product candidates are in the preclinical stages of development and will require additional preclinical studies and clinical development as well as regulatory review and approval, substantial investment, access to sufficient commercial manufacturing capacity and significant marketing efforts before we can generate any revenue from product sales. We will face significant development risk as our product candidates,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advance through clinical development. Our ability to generate revenue depends on a number of factors, including, but not limited to:</w:t>
      </w:r>
    </w:p>
    <w:p>
      <w:pPr>
        <w:spacing w:after="0" w:line="92"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preclinical studies and our current and future clinical trials, which may be significantly slower or more costly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IND applications or comparable applications to allow us to initiate clinical trials for any other current or future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similar foreign regulatory authorities the safety, potency, purity and acceptable risk-to-benefit profile of our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or similar foreign regulatory authorities;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as potential cancer treatments;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enforce, protect and defend intellectual property rights in and to our product candidates or any future product candidates.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commercialize our product candidates. Even if we are able to commercialize our product candidates, we may not achieve or maintain profitability. If we are unable to generate sufficient revenue through the sale of our product candidates or any future product candidates, we may be unable to continue operations without continued funding.</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Disruptions in the financial markets in general may make equity and debt financing more difficult to obtain and may have a material adverse effect on our ability to meet our fundraising needs.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 Any additional fundraising efforts we undertake may divert our management from their day-to-day activities, which may adversely affect our ability to develop and commercialize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If we are unable to develop, and commercialize, any of our current or future product candidates through clinical development, obtain regulatory approval and ultimately commercialize our product candidates, or if we experience significant delays in doing so, our business will be materially harmed.</w:t>
      </w:r>
    </w:p>
    <w:p>
      <w:pPr>
        <w:spacing w:after="0" w:line="67"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We are early in our development efforts. The success of our business depends upon our ability to identify, develop, and commercialize targeted radiopharmaceuticals across a range of oncology indications.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our most advanced product candidate, is in a Phase 1b clinical trial for the treatment of locally advanced or metastatic UC and other Nectin-4 expressing tumors. Commencing clinical trials for our current or future product candidates in the United States is subject to clearance by the FDA of an IND application and finalizing the trial design based on discussions with the FDA. In the event that the FDA requires us to complete additional preclinical studies or we are required to satisfy other FDA requests prior to commencing clinical trials, the start of our planned future clinical trials may be delayed or we may be unsuccessful obtaining clearance to proceed into clinical development. In addition,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accept the data from any trial that we conduct outside the United States, it would likely result in the need for additional trials, which would be costly and time-consuming and could delay or permanently halt our development of the applicable product candidates. Our ability to generate product revenues, which we do not expect will occur for many years, if ever, will depend heavily on the successful development and eventual commercialization of one or more of our product candidates.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planned preclinical studies and initiation of clinical trials for our other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23" w:lineRule="exact"/>
        <w:rPr>
          <w:rFonts w:ascii="Times New Roman" w:cs="Times New Roman" w:eastAsia="Times New Roman" w:hAnsi="Times New Roman"/>
          <w:sz w:val="18"/>
          <w:szCs w:val="18"/>
          <w:color w:val="auto"/>
        </w:rPr>
      </w:pPr>
    </w:p>
    <w:p>
      <w:pPr>
        <w:ind w:left="760" w:hanging="378"/>
        <w:spacing w:after="0" w:line="233"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develop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tumors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any B7-H3 expressing tumors;</w:t>
      </w:r>
    </w:p>
    <w:p>
      <w:pPr>
        <w:spacing w:after="0" w:line="9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develop additional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approvals for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post-regulatory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for commercial sale, commercial supplies for the radioisotopes used to manufacture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reliable transport for our product candidates given that isotope stability times are limited once a molecule has been bound;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operating our manufacturing facility;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dosimetry and imaging assessments to demonstrate sufficient tumor uptake of imaging radioisotopes conjugated to our miniproteins;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and maintaining arrangements with third-party manufacturers for both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patient access to the facilities able to administer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regulatory approval.</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be unable to successfully commercialize our product candidates, which would materially harm our business.</w:t>
      </w:r>
    </w:p>
    <w:p>
      <w:pPr>
        <w:spacing w:after="0" w:line="16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our lead product candidate,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for the treatment of Nectin-4 expressing tumors. We must complete clinical trials before we can seek regulatory approval and begin commercialization of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If we are unable to obtain regulatory approval for, and successfully commercialize,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our business may be materially harmed, and such failure may affect our other current or future product candidates.</w:t>
      </w:r>
    </w:p>
    <w:p>
      <w:pPr>
        <w:spacing w:after="0" w:line="98" w:lineRule="exact"/>
        <w:rPr>
          <w:sz w:val="20"/>
          <w:szCs w:val="20"/>
          <w:color w:val="auto"/>
        </w:rPr>
      </w:pPr>
    </w:p>
    <w:p>
      <w:pPr>
        <w:jc w:val="both"/>
        <w:ind w:firstLine="374"/>
        <w:spacing w:after="0" w:line="219" w:lineRule="auto"/>
        <w:rPr>
          <w:sz w:val="20"/>
          <w:szCs w:val="20"/>
          <w:color w:val="auto"/>
        </w:rPr>
      </w:pPr>
      <w:r>
        <w:rPr>
          <w:rFonts w:ascii="Times New Roman" w:cs="Times New Roman" w:eastAsia="Times New Roman" w:hAnsi="Times New Roman"/>
          <w:sz w:val="18"/>
          <w:szCs w:val="18"/>
          <w:color w:val="auto"/>
        </w:rPr>
        <w:t>The process for obtaining marketing approval for any product candidate,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is very long and risky and there will be significant challenges for us to address to obtain marketing approval as planned, if at all. There is no guarantee that the results obtained in our ongoing and planned clinical trials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will be sufficient to obtain regulatory approval. Furthermore, success in an early-stage trial does not necessarily mean a later stage trial will be successful. In addition, because our other product candidates are based on similar technology of our lead product candidate, if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encounters safety or efficacy problems, manufacturing or supply interruptions, developmental delays, regulatory issues, or other problems, our development plans and business related to other product candidates could be significantly harmed.</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is a lengthy and expensive process with uncertain timelines and uncertain outcomes. If preclinical studies or clinical trials of a product candidate are prolonged or delayed, we may be unable to obtain required regulatory approvals, and therefore be unable to commercialize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Ac]Ac-AKY-2519 or any of our future product candidates on a timely basis or at all.</w:t>
      </w: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and any future collaborators, are not permitted to commercialize, market, promote or sell any product candidate in the United States without obtaining regulatory approval from the FDA. Foreign regulatory authorities, such as the European Medicines Agency, or EMA, impose similar requirements. The time required to obtain approval by the FDA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and any future collaborators, must complete additional preclinical studies and clinical trials to demonstrate the safety and efficacy of our product candidates in humans before we will be able to obtain these approvals.</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our current and future product candidates, we may not be able to file IND applications, or similar applications outside the United States, on the timelines we expect. For example, we may experience supply or manufacturing delays or other delays with IND-enabling, or equivalent foreign preclinical studies. Moreover, we cannot be sure that submission of an IND application, or similar applications outside the United States, will result in the FDA, or comparable foreign regulatory authorities, allowing clinical trials to begin, or that, once begun, issues will not arise that suspend or terminate clinical trials. Additionally, even if such regulatory authorities agree with the design and implementation of the clinical trials set forth in an IND application, or similar applications outside the United States, we cannot guarantee that such regulatory authorities will not change their requirements in the future. We also cannot predict that approval of an IND application or similar application by the FDA or comparable foreign regulatory authority will result in approval of similar applications to conduct clinical trials. These considerations also apply to new clinical trials we may submit as amendments to existing INDs or similar approvals outside the United States. We do not know whether planned clinical trials will begin on time, need to be redesigned, enroll patients on time, or be completed on schedule, if at all.</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trials can be delayed, suspended, or terminated for a variety of reasons, including the following: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 to commence a clinical trial;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or IRB, approval at each site or national competent authority approvals including positive ethics committee opinions;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and enroll suitable patients to participate in a clinical trial, as well as inclusion and exclusion criteria and patients’ prior lines of therapy and treatment;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clinical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adding new investigators or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research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radioactive supplies, and to manufacture and deliver sufficient quantities of a product candidate for use in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a product candidate falling below acceptable standards;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treatment landscape for our target indications in oncology that may make any of our current or future product candidates no longer relevant;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our product candidates in clinical trials outside the United States and obtaining injunctions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interfering with our progress;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wildfires, or disease.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Moreover, clinical trials must be conducted in accordance with the FDA and comparable foreign regulatory authorities’ legal requirements, regulations, and guidelines, and are subject to oversight by regulatory authorities and IRBs or ethics committees at the medical institutions where the clinical trials are conducted.</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Safety or tolerability concerns could cause us or regulatory authorities, as applicable, to suspend or terminate a clinical trial if it is found that the participants are being exposed to unacceptable health risks, undesirable side effects, or other unfavorable characteristics of the product candidate, or if such undesirable effects or risks are found to be caused by a chemically or mechanistically similar therapeutic or therapeutic candidate. We could encounter delays if a clinical trial is suspended or terminated by us, by the IRBs or ethics committees of the institutions in which such trials are being conducted, by the data review committee or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2021, the FDA launched Project Optimus as an initiative to reform the dose optimization and dose selection paradigm in oncology drug development with the goal of advancing an oncology dose-finding and dose optimization paradigm that emphasizes dose selections that maximize efficacy as well as safety and tolerability. In support of this initiative, the FDA may request sponsors of oncology product candidates to conduct dose optimization studies before permitting sponsors to initiate a pivotal study. In early 2023, the FDA issued a draft guidance intended to assist sponsors in identifying the optimal dosages for these products during clinical development and prior to applying for approval for a new indication and usage as well as another draft guidance intended to provide recommendations to sponsors of anticancer drugs or biological products on considerations for designing trials intended to support accelerated approval. In August 2004, the FDA issued final guidance on optimizing the dosage of oncology drugs and biologics, which noted that while the guidance did not contain specific recommendations for radiopharmaceuticals, some of the recommendations in the guidance may be applicable to these products. If we are required to conduct dose optimizing studies, such studies may delay our product development activities.</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or our collaborators are slow or unable to adapt to changes in existing requirements or the adoption of new requirements or policies governing clinical trials, our development plans may be impacted.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Diversity Action Plans, 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on January 21, 2025, on Diversity, Equity and Inclusion programs, the FDA removed this draft guidance from its website. This action raises questions about the applicability of statutory obligations to submit DAPs and the agency’s current thinking on best practices for clinical development.</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Furthermore, even if we are able to complete our manufacturing facility, we will continue to rely on contract manufacturing organizations, or CMOs, and contract development and manufacturing organization, or CDMOs, for the proper and timely manufacturing of our product candidates in accordance with cGMP requirements. We also intend to continue to rely on CROs and clinical trial sites to ensure the proper and timely conduct of our clinical trials in compliance with good clinical practice, or GCP, requirements. While we have agreements governing their committed activities, we will have limited influence over their actual performance. To the extent our CMOs fail to comply with cGMP or to perform their manufacturing obligations in a timely manner, or our CROs fail to enroll participants for our clinical trials, fail to conduct the study in accordance with GCP, or are delayed for a significant time in the execution of trials, including achieving full enrollment, we may be affected by increased costs, program delays, or both, which may harm our business.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Moreover, any clinical trials that we may conduct in countries outside the United States may subject us to further delays and expenses because of increased shipment and distribution costs, additional regulatory requirements, and the engagement of non-U.S. CROs, as well as expose us to risks associated with clinical investigators who are unknown to the FDA, and different standards of diagnosis, screening, and medical care. The FDA may decline to accept the data we obtain from these clinical studies in support of an IND application or a biologics license application, or BLA, in the United States, which may require us to repeat or conduct additional preclinical studies or clinical trials that we did not anticipate in the United States, and therefore we may be unable to commercialize our current or future product candidates, on a timely basis or at all in the United States. Foreign regulatory authorities may also decline to accept data obtained from clinical studies conducted in the United States in support of a related marketing authorization application which may lead to similar risks in countries outside the United States.</w:t>
      </w:r>
    </w:p>
    <w:p>
      <w:pPr>
        <w:spacing w:after="0" w:line="90"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the commercial prospects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or our other product candidates will be harmed, and our ability to generate revenue from sales</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of any products will be delayed. In addition, any delays in completing our clinical trials will increase our costs, slow down our development and approval process, and jeopardize our ability to commence sales and generate revenue.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financial condition, results of operations and prospects.</w:t>
      </w:r>
    </w:p>
    <w:p>
      <w:pPr>
        <w:spacing w:after="0" w:line="18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Ac]Ac-AKY-2519, or any of our future product candidates, which would prevent or delay or limit the scope of regulatory approval and commercialization.</w:t>
      </w:r>
    </w:p>
    <w:p>
      <w:pPr>
        <w:spacing w:after="0" w:line="97" w:lineRule="exact"/>
        <w:rPr>
          <w:sz w:val="20"/>
          <w:szCs w:val="20"/>
          <w:color w:val="auto"/>
        </w:rPr>
      </w:pPr>
    </w:p>
    <w:p>
      <w:pPr>
        <w:jc w:val="both"/>
        <w:ind w:firstLine="374"/>
        <w:spacing w:after="0" w:line="231"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or any of our future product candidates, we must demonstrate through clinical trials that such product candidates are safe and effective for use in each targeted indication. Most product candidates that begin clinical trials are never approved by regulatory authorities for commercialization. Unforeseen side effects could arise either during clinical development or, if such side effects are more rare, after our products have been approved by regulatory authorities and the approved product has been marketed, resulting in the exposure of additional patients than if such side effect had arisen during a clinical trial. Furthermore, the results of our Phase 1b clinical trial may not demonstrate the clinical utility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reveal an unacceptable safety profile. Additionally, assessments of the long-term safety of targeted alpha-emitting isotope therapies in humans have been limited, and there may be long-term effects from treatment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 that we cannot predict at this time. Further, we may be unable to establish clinical endpoints that applicable regulatory authorities would consider clinically meaningful, and a clinical trial can fail at any stage of testing.</w:t>
      </w:r>
    </w:p>
    <w:p>
      <w:pPr>
        <w:spacing w:after="0" w:line="100" w:lineRule="exact"/>
        <w:rPr>
          <w:sz w:val="20"/>
          <w:szCs w:val="20"/>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or any of our future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Additionally, our Phase 1b clinical trial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is, and we expect future trials of our product candidates to be, open-label trials, meaning both the patient and investigator know whether the patient is receiving the investigational product candidate.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an open-label trial would not be replicated in a controlled trial. Moreover, if unacceptable toxicities, undesirable side effects or adverse product-product interactions arise in the development of our product candidates alone or in combination with other therapies, we could suspend or terminate or trials, or the FDA or comparable foreign regulatory authorities could order us to cease clinical trials, deny approval of the product candidate for any or all targeted indications or require a more restrictive label. If the results of our clinical trials are inconclusive with respect to the efficacy of product candidates, if we do not meet the clinical endpoints with statistical and clinically meaningful significance, if there are safety concerns associated with our product candidates, or if the results observed cannot be replicated, we may be delayed in obtaining regulatory approval, if at all. Additionally, any safety concerns observed in our clinical trials, or in the clinical experience of others using our product candidates in “compassionate use” scenarios outside of the United States, or investigating similar products or modalities could impact our prospects for regulatory approval in those and other indications.</w:t>
      </w:r>
    </w:p>
    <w:p>
      <w:pPr>
        <w:spacing w:after="0" w:line="9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is often susceptible to varying interpretations and analyses, and we cannot guarantee that the FDA or comparable foreign regulatory authorities will interpret the results as we do, and more trials could be required before we submit any future BLA or comparable foreign application.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clinical trials are not satisfactory to the FDA or comparable foreign regulatory authorities for support of a regulatory application, approval of our product candidates may be significantly delayed, or we may be required to expend significant additional resources, which may not be available to us, to conduct additional development work. Even if regulatory approval is secured for a product candidate, the terms of such approval may limit the scope and use of the specific product candidate, which may also limit its commercial potential.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using our miniprotein radioconjugate platform represents a novel approach to radiation therapy, which may create significant and potentially unpredictable challenges for us.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future success depends on leveraging our miniprotein radioconjugate platform to successfully develop product candidates which are designed to treat advanced solid tumors, utilizing a novel approach to directed-radiation therapy. There are currently few approved radiopharmaceutical therapeutic products. In addition, there has been limited historical clinical trial experience, generally, for the development of radiopharmaceutical therapeutics. As a result, the design and conduct of clinical trials for these product candidates is uncertain and subject to increased risk.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 xml:space="preserve">While external beam radiation as a therapy for cancers has existed for decades, oncology treatment using systemic delivery of targeted radiopharmaceuticals in general, and alpha emitting isotopes specifically, is relatively new. Only one alpha emitting isotope therapy, Xofigo, which uses the isotope radium-223, or </w:t>
      </w:r>
      <w:r>
        <w:rPr>
          <w:rFonts w:ascii="Times New Roman" w:cs="Times New Roman" w:eastAsia="Times New Roman" w:hAnsi="Times New Roman"/>
          <w:sz w:val="24"/>
          <w:szCs w:val="24"/>
          <w:color w:val="auto"/>
          <w:vertAlign w:val="superscript"/>
        </w:rPr>
        <w:t>223</w:t>
      </w:r>
      <w:r>
        <w:rPr>
          <w:rFonts w:ascii="Times New Roman" w:cs="Times New Roman" w:eastAsia="Times New Roman" w:hAnsi="Times New Roman"/>
          <w:sz w:val="18"/>
          <w:szCs w:val="18"/>
          <w:color w:val="auto"/>
        </w:rPr>
        <w:t>radium, has been approved in the United States or the European Union, or EU, and only a limited number of clinical trials of products based on alpha emitting isotope therapies have commenced. Approved therapies containing beta emitting isotopes have also been limited. As such, it is difficult to accurately predict the developmental challenges we may incur for our product candidates as they proceed through discovery or identification, preclinical studies, and clinical trials. In addition, beyond the limited universe of patients treated with Xofigo, assessments of the long-term safety of targeted alpha emitting isotope therapies in humans have been limited, and there may be long-term effects from treatment with our product candidates that we cannot predict at this time.</w:t>
      </w:r>
    </w:p>
    <w:p>
      <w:pPr>
        <w:spacing w:after="0" w:line="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It is difficult for us to predict the time and cost of the development of our product candidates, and we cannot predict whether the application of our technology, or any similar or competitive technologies, will result in the identification, development, and regulatory approval of any products. There can be no assurance that any development problems we experience in the future related to our technology or any of our research programs will not cause significant delays or unanticipated costs, or that such development problems can be solved at all. Any of these factors may prevent us from completing our preclinical studies and clinical trials that we may initiate or commercializing any product candidates we may develop on a timely or profitable basis, if at all.</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adverse events, undesirable side effects or have other properties that could halt their preclinical or clinical development, prevent, delay, or cause the withdrawal of their regulatory approval, limit their commercial potential, or result in significant negative consequences, including death of patients. If any of our product candidates receive marketing approval and we, or others, later discover that the product is less effective than previously believed or causes undesirable side effects that were not previously identified, our ability, or that of any potential future collaborators, to market the product could be compromised.</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with most biological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w:t>
      </w:r>
    </w:p>
    <w:p>
      <w:pPr>
        <w:spacing w:after="0" w:line="68"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have, and will need to continue to, educate and train medical personnel using our product candidates to understand their side effect profiles, for our ongoing Phase 1b clinical trial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any future clinical trials, and upon any commercialization of any product candidates. Inadequate training in recognizing or managing the potential side effects of our product candidates could result in adverse events to patients, including death. Any of these occurrences may materially and adversely harm our business, financial condition, results of operations and prospects.</w:t>
      </w:r>
    </w:p>
    <w:p>
      <w:pPr>
        <w:spacing w:after="0" w:line="9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it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79"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seize the product, or seek an injunction against its manufacture or distribution;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product, change the way such product is administered to patients or conduct additional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 or impose distribution or use restrictions;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shares.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dosimetry assessments, and early-stage clinical trials may not be predictive of the results of future preclinical studies or clinical trials.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Success in preclinical studies does not ensure that later preclinical studies or clinical trials will be successful. Several companies in the biotechnology industry have suffered significant setbacks in clinical trials, even after positive results in preclinical and earlier clinical trials. These setbacks have been caused by, among other things, negative preclinical findings identified after clinical trials have already commenced and safety or efficacy observations made in clinical trials, including previously unanticipated adverse events. We cannot predict if the FDA or comparable foreign regulatory authority will consider the data from our future preclinical studies sufficient to support approval of an IND application or similar application. In addition, preclinical data is often susceptible to varying interpretations and analyses, which could require us to repeat or conduct additional preclinical studies. Notwithstanding any potential promising results in earlier studies, we cannot be certain that we will not face similar setbacks. In addition, the results of our preclinical animal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8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dosimetry assessments conducted using radioconjugates of our product candidates used may not be predictive of the anticancer effect or safety profile of our product candidates and we have had limited control and input over the conduct of this assessment and the reported results. The ability of our miniproteins to localize on tumors does not ensure that our product candidates will be successful at eradicating the tumor with an acceptable risk and safety profile, if at all. Likewise, the results of any early-stage clinical trials may not be predictive of the results of the later-stage clinical trials, which tend to enroll substantially larger numbers of patients. The preliminary results of clinical trials with smaller sample sizes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We plan to enroll larger patient populations in later trials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With significantly more patients in future phases of the trial, we may not achieve statistically significant results or the same level of statistical significance, if any, that are observed in any earlier trials. Differences in trial design between early-stage clinical trials and later-stage clinical trials make it difficult to extrapolate the results of earlier clinical trials to later clinical trials. In addition, results in one indication may also not be predictive of results to be expected for the same product candidate in another indication.</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fail to receive positive results in preclinical studies or early-stage clinical trials, or those results are not replicated in later-stage clinical trials of any product candidate or across indications for that product candidate, the development timeline and regulatory approval and commercialization prospects for that product candidate, and, correspondingly, our business, financial condition, results of operations and prospects, would be harmed.</w:t>
      </w:r>
    </w:p>
    <w:p>
      <w:pPr>
        <w:spacing w:after="0" w:line="68"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18"/>
          <w:szCs w:val="18"/>
          <w:color w:val="auto"/>
        </w:rPr>
        <w:t>The administration of AKY-1189 to patients in South Africa pursuant to Section 21 of the Medicines and Related Substances Act, or MRSA, as authorized by the South African Health Products Regulatory Authority, or SAPHRA, was conducted by a third-party physician. We had limited control and input with respect to the collection of the data from the patients in South Africa conducted pursuant to Section 21 of the MRSA and the manner in which it was conducted and will have limited control with respect to the human imaging data being gathered pursuant to Section 21 of the MSRA. We have relied on the results of the assessment to inform our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these results may turn out to be incorrect or unreliable. Similarly, we will be relying on the investigator to conduct the human imaging studies in accordance with the applicable protocol, legal, regulatory and scientific standards, and accurately report the results and correctly collect the data. If these results prove to be unreliable, the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may be adversely affected.</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preclinical studies and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6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study or trial. Preliminary or interim data from clinical trials are subject to the risk that one or more of the clinical outcomes may materially change as patient enrollment continues and more patient data becomes available. We also make assumptions, estimations, calculations, and conclusions as part of our analyses of data, and we may not have received or had the opportunity to evaluate all data fully and carefully. Further, modifications or improvements to our manufacturing processes for a therapy may result in changes to the characteristics or behavior of the product candidate that could cause our future product candidates to perform differently and affect the results of our ongoing clinical trials. As a result, other current or the topline results that we report may differ from future results of the same preclinical studies or clinical trials, or different conclusions or considerations may qualify such topline results, once additional data have been received and fully evaluated. Topline data also remain subject to audit and verification procedures that may result in the final data being materially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different from the preliminary data we previously published. As a result, topline data should be viewed with caution until the final data are available.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differences between preliminary or interim data and final data could significantly harm our business, financial condition, results of operations and prospects. Additionally, disclosure of preliminary or interim data by us or by our competitors could result in volatility in the price of our common stock.</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disagree with the conclusions reached, our ability to obtain approval for, and commercialize, any of our current or future product candidates may be harmed, which could harm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radioactive nature of our product candidates, once manufactured, our product candidates will have time-limited stability, and as a result, we may encounter difficulties with fulfilment and logistics.</w:t>
      </w:r>
    </w:p>
    <w:p>
      <w:pPr>
        <w:spacing w:after="0" w:line="58" w:lineRule="exact"/>
        <w:rPr>
          <w:sz w:val="20"/>
          <w:szCs w:val="20"/>
          <w:color w:val="auto"/>
        </w:rPr>
      </w:pPr>
    </w:p>
    <w:p>
      <w:pPr>
        <w:jc w:val="both"/>
        <w:ind w:firstLine="374"/>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is designed to provide at least four days of stability following radiolabeling, meaning that the patient must intravenously receive our product candidate within four days of its radiolabeling. We anticipate that our future products candidates utilizing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will have similar, limited stable life-span. As such, our product candidates must be manufactured on an as-needed basis, and shipped almost immediately thereafter. Because our product candidates,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cannot be “stock-piled” and stored for even a small number of days ahead of shipment, we or any third-party manufacturer must be able to manufacture our product candidates on a rolling basis, and any delays, could result in an immediate and substantial impact on our ability to deliver the product candidate to patients. Any significant delays in delivering product candidates to patients could damage our reputation and result in deviations from our clinical trial protocols, which in turn could affect our ability to advance the clinical development of our product candidates on a timely basis, or at all.</w:t>
      </w:r>
    </w:p>
    <w:p>
      <w:pPr>
        <w:spacing w:after="0" w:line="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once manufactured, our product candidates must be quickly and safely transported to the applicable clinical trial site. As we scale our operations and enroll larger clinical trials, and prepare for potential commercialization, we will need to scale our shipping abilities. Labor disputes, government restrictions, work stoppages, pandemics, derailments, damage or loss events, adverse weather conditions, other events beyond our control could interrupt or delay transportation, which could result in the loss or damage of our product candidates. Although, we carry insurance to cover material loss or damage to supplies in transit, any insurance policy claims awarded to us may be insufficient to cover our losses or damages.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retention of patients in our clinical trials. If we experience delays or difficulties enrolling or retaining patients in our clinical trials, our research and development efforts and business, financial condition, results of operations and prospects could be materially adversely affected.</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In addition, in the future, we may evaluate our product candidates as first-in-line treatments for which there are other approved treatment alternatives, which may present enrollment challenges. Because the number of qualified clinical investigators and clinical trial sites capable of administering radiopharmaceutical therapies is limited, we expect to conduct some of our clinical trials at the same clinical trial sites that some of our competitors use, which will reduce the number of patients who are available for our clinical trials at such clinical trial sites.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Enrollment may also depend in part on the medical community and public’s perception of our product candidates or those of our competitors. Adverse events in our preclinical studies or clinical trials or those of our competitors or of academic researchers or other clinicians utilizing our product candidates under “compassionate use” pathways outside the United States, or similar technologies, even if not ultimately attributable to product candidates we may discover and develop, and the resulting publicity could result in unfavorable public perception and adversely impact our ability to enroll clinical trials.</w:t>
      </w:r>
    </w:p>
    <w:p>
      <w:pPr>
        <w:spacing w:after="0" w:line="79" w:lineRule="exact"/>
        <w:rPr>
          <w:sz w:val="20"/>
          <w:szCs w:val="20"/>
          <w:color w:val="auto"/>
        </w:rPr>
      </w:pPr>
    </w:p>
    <w:p>
      <w:pPr>
        <w:jc w:val="both"/>
        <w:ind w:firstLine="374"/>
        <w:spacing w:after="0" w:line="224" w:lineRule="auto"/>
        <w:rPr>
          <w:sz w:val="20"/>
          <w:szCs w:val="20"/>
          <w:color w:val="auto"/>
        </w:rPr>
      </w:pPr>
      <w:r>
        <w:rPr>
          <w:rFonts w:ascii="Times New Roman" w:cs="Times New Roman" w:eastAsia="Times New Roman" w:hAnsi="Times New Roman"/>
          <w:sz w:val="18"/>
          <w:szCs w:val="18"/>
          <w:color w:val="auto"/>
        </w:rPr>
        <w:t>Delays in the completion of any clinical trial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or our other current or future product candidates will increase our costs, slow down the development and approval process, and delay or potentially jeopardize our ability to commence sales and generate revenue. In addition, some of the factors that cause, or lead to, a delay in the commencement or completion of clinical trials may also ultimately lead to the denial of regulatory approval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or any of our other current or future products, if approved, will depend upon public perception of radiopharmaceuticals and the degree of their market acceptance by physicians, patients, healthcare payors and others in the medical community.</w:t>
      </w:r>
    </w:p>
    <w:p>
      <w:pPr>
        <w:spacing w:after="0" w:line="9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18"/>
          <w:szCs w:val="18"/>
          <w:color w:val="auto"/>
        </w:rPr>
        <w:t>Adverse events in clinical trials of our product candidates, or in clinical trials or other studies conducted by others involving similar products, which may include the same radioisotopes as our product candidates, and the resulting negative publicity, as well as any other adverse events in the field of radiopharmaceuticals that may occur in the future, could result in a decrease in demand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approved indication or any future product candidates that we may develop. If public perception is influenced by claims that radiopharmaceuticals or specific therapies within radiopharmaceuticals are unsafe,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 may not be accepted by the general public or the medical community.</w:t>
      </w:r>
    </w:p>
    <w:p>
      <w:pPr>
        <w:spacing w:after="0" w:line="91"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In particular, the commercial success of our products, if approved, will depend upon, among other things, these products gaining and maintaining acceptance by physicians, patients, third-party payors, and other members of the medical community as efficacious and cost-effective alternatives to competing products and treatments. Even if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product candidates we develop receive marketing approval by the FDA or other foreign regulatory authority, they may not achieve the level of commercial acceptance and sales experienced by approved beta-emitting therapies, Pluvicto and Lutathera. If any of our products, once approved, do not achieve and maintain an adequate level of acceptance, we may not generate material sales or be able to successfully commercialize such product.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degree of market acceptance of our candidates products, if approved, will depend on a number of factors, including:</w:t>
      </w:r>
    </w:p>
    <w:p>
      <w:pPr>
        <w:spacing w:after="0" w:line="11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general, and relative to other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products and product candidates, which may require coordination amongst multiple physicians across disciplines for administration;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relative cost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therapies and of physicians to prescribe these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coverage or reimbursement by third parties.</w:t>
      </w:r>
    </w:p>
    <w:p>
      <w:pPr>
        <w:spacing w:after="0" w:line="22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We may develop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and potentially future product candidates, in combination with other therapies, which exposes us to additional risks.</w:t>
      </w:r>
    </w:p>
    <w:p>
      <w:pPr>
        <w:spacing w:after="0" w:line="9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We may develop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may develop future product candidates, for use in combination with one or more currently approved cancer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products or for indications other than cancer. This could result in our own products being removed from the market or being less successful commercially.</w:t>
      </w:r>
    </w:p>
    <w:p>
      <w:pPr>
        <w:spacing w:after="0" w:line="97"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7"/>
          <w:szCs w:val="17"/>
          <w:color w:val="auto"/>
        </w:rPr>
        <w:t>We may also evaluate [</w:t>
      </w:r>
      <w:r>
        <w:rPr>
          <w:rFonts w:ascii="Times New Roman" w:cs="Times New Roman" w:eastAsia="Times New Roman" w:hAnsi="Times New Roman"/>
          <w:sz w:val="23"/>
          <w:szCs w:val="23"/>
          <w:color w:val="auto"/>
          <w:vertAlign w:val="superscript"/>
        </w:rPr>
        <w:t>225</w:t>
      </w:r>
      <w:r>
        <w:rPr>
          <w:rFonts w:ascii="Times New Roman" w:cs="Times New Roman" w:eastAsia="Times New Roman" w:hAnsi="Times New Roman"/>
          <w:sz w:val="17"/>
          <w:szCs w:val="17"/>
          <w:color w:val="auto"/>
        </w:rPr>
        <w:t>Ac]Ac-AKY-1189 or any other current or future product candidates in combination with one or more other cancer therapies that have not yet been approved for marketing by the FDA or similar foreign regulatory authorities. We will not be able to market and sell [</w:t>
      </w:r>
      <w:r>
        <w:rPr>
          <w:rFonts w:ascii="Times New Roman" w:cs="Times New Roman" w:eastAsia="Times New Roman" w:hAnsi="Times New Roman"/>
          <w:sz w:val="23"/>
          <w:szCs w:val="23"/>
          <w:color w:val="auto"/>
          <w:vertAlign w:val="superscript"/>
        </w:rPr>
        <w:t>225</w:t>
      </w:r>
      <w:r>
        <w:rPr>
          <w:rFonts w:ascii="Times New Roman" w:cs="Times New Roman" w:eastAsia="Times New Roman" w:hAnsi="Times New Roman"/>
          <w:sz w:val="17"/>
          <w:szCs w:val="17"/>
          <w:color w:val="auto"/>
        </w:rPr>
        <w:t>Ac]Ac-AKY-1189 or any product candidate we develop in combination with any such unapproved cancer therapies that do not ultimately obtain marketing approval.</w:t>
      </w:r>
    </w:p>
    <w:p>
      <w:pPr>
        <w:spacing w:after="0" w:line="91"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If the FDA or similar foreign regulatory authorities do not approve these other products or revoke their approval of, or if safety, efficacy, manufacturing, or supply issues arise with, the products we choose to evaluate in combination with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product candidate we develop, we may be unable to obtain approval of or market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 we develop.</w:t>
      </w:r>
    </w:p>
    <w:p>
      <w:pPr>
        <w:spacing w:after="0" w:line="1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 key element of our strategy is to apply our development pipeline to address a broad array of cancer targets and new therapeutic areas. The therapeutic discovery activities that we are conducting may not be successful in identifying product candidates that are useful in treating targets in oncology. Our research programs may be unsuccessful in identifying potential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or our potential product candidates may be shown to have harmful side effects or may have other characteristics that may make the products unmarketable or unlikely to receive regulatory approval.</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need to relinquish valuable rights to that product candidate through collaboration, licensing, or other royalty arrangements in cases in which it would have been more advantageous for us to retain sole development and commercialization rights.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radiopharmaceutical products is highly competitive. We face and will continue to face competition from third parties that use radioisotopes and from companies focused on more traditional therapeutic modalities.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products.</w:t>
      </w:r>
    </w:p>
    <w:p>
      <w:pPr>
        <w:spacing w:after="0" w:line="72"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18"/>
          <w:szCs w:val="18"/>
          <w:color w:val="auto"/>
        </w:rPr>
        <w:t xml:space="preserve">We consider our most direct competitors to be companies developing targeted alpha-based radiopharmaceuticals for the treatment of cancer. There are several companies developing targeted alpha-based radiopharmaceuticals for the treatment of cancer, including Abdera Therapeutics, Actinium Pharmaceuticals, Inc., Alpha9 Oncology, Inc., Artbio AS, Bayer AG, Convergent Therapeutics, Fusion Pharmaceuticals Inc. (acquired by AstraZeneca), Johnson &amp; Johnson, Mariana Oncology, Inc. (acquired by Novartis AG), Perspective Therapeutics, POINT Biopharma Global Inc. (acquired by Eli Lilly), RadioMedix, Inc., RayzeBio, Inc. (acquired by Bristol Myers Squibb) and Telix Pharmaceuticals Limited. These companies are targeting a wide range of solid and hematologic malignancies using various alpha emitting isotopes, including </w:t>
      </w:r>
      <w:r>
        <w:rPr>
          <w:rFonts w:ascii="Times New Roman" w:cs="Times New Roman" w:eastAsia="Times New Roman" w:hAnsi="Times New Roman"/>
          <w:sz w:val="24"/>
          <w:szCs w:val="24"/>
          <w:color w:val="auto"/>
          <w:vertAlign w:val="superscript"/>
        </w:rPr>
        <w:t>223</w:t>
      </w:r>
      <w:r>
        <w:rPr>
          <w:rFonts w:ascii="Times New Roman" w:cs="Times New Roman" w:eastAsia="Times New Roman" w:hAnsi="Times New Roman"/>
          <w:sz w:val="18"/>
          <w:szCs w:val="18"/>
          <w:color w:val="auto"/>
        </w:rPr>
        <w:t xml:space="preserve">radium, lead-212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The first and only approved alpha particle-based therapy is Bayer’s Xofigo (</w:t>
      </w:r>
      <w:r>
        <w:rPr>
          <w:rFonts w:ascii="Times New Roman" w:cs="Times New Roman" w:eastAsia="Times New Roman" w:hAnsi="Times New Roman"/>
          <w:sz w:val="24"/>
          <w:szCs w:val="24"/>
          <w:color w:val="auto"/>
          <w:vertAlign w:val="superscript"/>
        </w:rPr>
        <w:t>223</w:t>
      </w:r>
      <w:r>
        <w:rPr>
          <w:rFonts w:ascii="Times New Roman" w:cs="Times New Roman" w:eastAsia="Times New Roman" w:hAnsi="Times New Roman"/>
          <w:sz w:val="18"/>
          <w:szCs w:val="18"/>
          <w:color w:val="auto"/>
        </w:rPr>
        <w:t>radium) which is a salt of radium that cannot easily and robustly be attached to a targeting molecule, but naturally localizes to regions where cancer cells are infiltrating bone. Xofigo was approved in 2013 for the treatment of prostate cancer with symptomatic bone metastases.</w:t>
      </w:r>
    </w:p>
    <w:p>
      <w:pPr>
        <w:spacing w:after="0" w:line="9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are several companies with approved beta-emitting radiopharmaceuticals, including Lantheus Holdings, Novartis, Bayer, Sirtex, Boston Scientific and Q BioMed Inc. and other companies developing beta-emitting radiopharmaceuticals, including POINT Biopharma Global, ITM Isotope Technologies Munich SE, Y-Mabs and Telix Pharmaceuticals Limited. The beta emitting isotopes used by these companies include iodine-131, lutetium-177, strontium-89 and yttrium-90. A recently approved beta particle-based radiopharmaceutical is Novartis’ Pluvicto, which was approved by the FDA in 2022 for the treatment of patients with metastatic prostate cancer.</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competitors will also include companies that are or will be developing other treatment methods as well as therapies for the same indications in oncology that we are targeting. In addition to the competitors we face in developing radiopharmaceuticals, we will also face competition in the indications we expect to pursue. In order to compete effectively with these existing therapies, we will need to demonstrate that our therapies are favorable to existing therapeutics and obtain comparable coverage and reimbursement for our product candidates.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isotope supply chain logistics, manufacturing, preclinical testing, conducting clinical trials, obtaining regulatory approvals, obtaining reimbursement for and marketing of approved products than we do. Mergers and acquisitions in the biotechnology, pharmaceutical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foreign regulatory approval for their products more rapidly than we may obtain approval for ours, which could result in our competitors establishing a strong market position before we or our collaborators are able to enter the market. Even if the product candidates we may develop in the future achieve regulatory approval, they may be priced at a significant premium over competitive products if any have been approved by then, resulting in reduced competitiveness. Moreover, technological advances or products developed by our competitors may render our technologies or product candidates we may develop in the future obsolete, less competitive, or not economical. The key competitive factors affecting the success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our other current and future product candidates, if approved, are likely to be their efficacy, safety, convenience, price, the level of generic competition and the availability of reimbursement from government and other third-party payors.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smaller than we anticipated or may be limited to those patients who are ineligible for or have failed prior treatments. If we encounter difficulties enrolling patients in our clinical trials, our clinical development activities could be delayed or otherwise adversely affected.</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current and future target patient populations are based on our beliefs and estimates regarding the incidence or prevalence of certain types of cancers that may be addressable by our product candidates, which is derived from a variety of sources, including scientific literature and surveys of clinics. Our projections may prove to be incorrect and the number of potential patients may turn out to be lower than expected. Even if we obtain significant market share for our product candidates, because the potential target populations could be small, we may never achieve profitability without obtaining regulatory approval for additional indications, including use of our product candidates for front-line and second-line therapy.</w:t>
      </w:r>
    </w:p>
    <w:p>
      <w:pPr>
        <w:spacing w:after="0" w:line="82" w:lineRule="exact"/>
        <w:rPr>
          <w:sz w:val="20"/>
          <w:szCs w:val="20"/>
          <w:color w:val="auto"/>
        </w:rPr>
      </w:pPr>
    </w:p>
    <w:p>
      <w:pPr>
        <w:jc w:val="both"/>
        <w:ind w:right="20" w:firstLine="374"/>
        <w:spacing w:after="0" w:line="227" w:lineRule="auto"/>
        <w:rPr>
          <w:sz w:val="20"/>
          <w:szCs w:val="20"/>
          <w:color w:val="auto"/>
        </w:rPr>
      </w:pPr>
      <w:r>
        <w:rPr>
          <w:rFonts w:ascii="Times New Roman" w:cs="Times New Roman" w:eastAsia="Times New Roman" w:hAnsi="Times New Roman"/>
          <w:sz w:val="18"/>
          <w:szCs w:val="18"/>
          <w:color w:val="auto"/>
        </w:rPr>
        <w:t>We expect to initially seek approval of some of our product candidates,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as second-or third-line therapies for patients who have failed other approved treatments.</w:t>
      </w:r>
    </w:p>
    <w:p>
      <w:pPr>
        <w:spacing w:after="0" w:line="9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has never commercialized a product candidate and may experience delays or unexpected difficulties in obtaining regulatory approval for our current and future product candidates.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company has never obtained regulatory approval for, or commercialized, a product. It is possible that the FDA may refuse to accept any or all of our planned BLAs for substantive review or may conclude after review of our data that our application is insufficient to obtain regulatory approval for any product candidates. If the FDA does not approve any of our planned BLAs, it may require that we conduct additional costly clinical trials, preclinical studies or manufacturing validation studies before it will reconsider our applications. Depending on the extent of these or any other FDA-required studies, approval of any BLA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BLA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for commercial sale, we may not be able to generate product revenue.</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are unable to, or decide not to, establish internal sales, marketing and distribution capabilities, we will pursue collaborative arrangements regarding the sales and marketing of our products, if licensed.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 for which we are able to obtain regulatory approval.</w:t>
      </w:r>
    </w:p>
    <w:p>
      <w:pPr>
        <w:spacing w:after="0" w:line="16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or our other current or future product candidates in the clinic or at the commercial stage, and our product liability insurance may not cover all damages from such claims.</w:t>
      </w:r>
    </w:p>
    <w:p>
      <w:pPr>
        <w:spacing w:after="0" w:line="9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the use of product candidates by us in clinical trials, and the sale of any approved products in the future, may expose us to liability claims, including third-party claims against any of our collaboration partners, some of which we could be contractually obligated to indemnify. These claims might be made by patients that use the product, healthcare providers, pharmaceutical companies, or others selling such products. Any claims against us, regardless of their merit, could be difficult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5" w:name="page56"/>
    <w:bookmarkEnd w:id="55"/>
    <w:p>
      <w:pPr>
        <w:jc w:val="both"/>
        <w:spacing w:after="0" w:line="227" w:lineRule="auto"/>
        <w:rPr>
          <w:sz w:val="20"/>
          <w:szCs w:val="20"/>
          <w:color w:val="auto"/>
        </w:rPr>
      </w:pPr>
      <w:r>
        <w:rPr>
          <w:rFonts w:ascii="Times New Roman" w:cs="Times New Roman" w:eastAsia="Times New Roman" w:hAnsi="Times New Roman"/>
          <w:sz w:val="18"/>
          <w:szCs w:val="18"/>
          <w:color w:val="auto"/>
        </w:rPr>
        <w:t>costly to defend and could materially adversely affect the market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our other current or future product candidates or any prospects for commercialization.</w:t>
      </w:r>
    </w:p>
    <w:p>
      <w:pPr>
        <w:spacing w:after="0" w:line="90" w:lineRule="exact"/>
        <w:rPr>
          <w:sz w:val="20"/>
          <w:szCs w:val="20"/>
          <w:color w:val="auto"/>
        </w:rPr>
      </w:pPr>
    </w:p>
    <w:p>
      <w:pPr>
        <w:jc w:val="both"/>
        <w:ind w:firstLine="374"/>
        <w:spacing w:after="0" w:line="230"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product, even after regulatory approval, may exhibit unforeseen side effects. If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our other current or future product candidates.</w:t>
      </w:r>
    </w:p>
    <w:p>
      <w:pPr>
        <w:spacing w:after="0" w:line="9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Even successful defense against product liability claims would require significant financial and management resources. Regardless of the merits or eventual outcome, liability claims may result in:</w:t>
      </w:r>
    </w:p>
    <w:p>
      <w:pPr>
        <w:spacing w:after="0" w:line="61"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decline in our share price.</w:t>
      </w:r>
    </w:p>
    <w:p>
      <w:pPr>
        <w:spacing w:after="0" w:line="11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Although we maintain product liability insurance in the United States, and in other jurisdictions where we have ongoing clinical trials, it is possible that our liabilities could exceed our insurance coverage. We intend to expand our insurance coverage to include the sale of commercial products if we obtain regulatory approval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party to multiple license and collaboration agreements with significant payment obligations that are contingent upon the occurrence of future events, the timing and likelihood of which are difficult to predict. If we fail to comply with our obligations under these license and collaboration agreements, we could lose rights that are important to our business.</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our license and collaboration agreements, we have payment obligations that are contingent upon future events, such as the achievement of specified development, regulatory and commercial milestones, and in some cases, we are required to make royalty payments in connection with the sales of products developed under those agreements. Although we could be required to make substantial milestone payments under our license and collaboration agreements, we are currently unable to estimate the timing or likelihood of achieving the milestones or making future sales. For further discussion of our obligations under these agreements, see “Business—License and collaboration agreements.”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be unable to meet our obligations as they become due, especially in the event that multiple milestones are achieved in a short amount of time. If we are unable to meet our obligations when due, it may result in the delay or termination of the research, development or commercialization of the relevant product candidate, and may result in costly litigation or arbitration that diverts management attention and resources away from our day-to-day activities, which may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is subject to extensive regulation, and the regulatory approval processes of the FDA and comparable foreign authorities are lengthy, time-consuming, and inherently unpredictable. If we are ultimately unable to obtain regulatory approval for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or any other current or future product candidates, on a timely basis if at all, our business will be substantially harmed.</w:t>
      </w:r>
    </w:p>
    <w:p>
      <w:pPr>
        <w:spacing w:after="0" w:line="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application and finalizing the trial design based on discussions with the FDA. Even after we receive and incorporate guidance from the FDA, the FDA could</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in other countries, including countries in the EU.</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we have not previously submitted a BLA to the FDA or similar marketing applications to similar foreign regulatory authorities. An BLA must include extensive preclinical and clinical data and supporting information to establish the product candidate’s safety, purity and potency for each desired indication. The BLA must also include significant information regarding the manufacturing controls for the product. We expect the novel nature of our product candidates to create further challenges in obtaining regulatory approval.</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BLA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61"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any of our current or future product candidates could fail to receive regulatory approval for many reasons, including the following:</w:t>
      </w:r>
    </w:p>
    <w:p>
      <w:pPr>
        <w:spacing w:after="0" w:line="90"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BLA or other submission or to obtain regulatory approval in the United States or elsewhere, or regulatory authorities may not accept a submission due to, among other reasons, the content or formatting of the submission;</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or those of third-party manufacturers with whom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jc w:val="both"/>
        <w:ind w:firstLine="374"/>
        <w:spacing w:after="0" w:line="23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 which would significantly harm our business, financial condition, results of operations and prospects. The FDA and comparable foreign regulatory authorities have substantial discretion in the approval process and determining when or whether regulatory approval will be obtained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 For example, regulatory authorities in various jurisdictions may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our other current or future product candidates is promising, such data may not be sufficient to support approval by the FDA or any comparable foreign regulatory authority.</w:t>
      </w:r>
    </w:p>
    <w:p>
      <w:pPr>
        <w:spacing w:after="0" w:line="9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other current or future product candidates.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the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the product candidates we develop, and we may be unsuccessful. Regulatory authorities in some jurisdictions, including the United States and Europe, may designate drugs and biologics for relatively small patient populations as orphan drugs. Under the Orphan Drug Act, the FDA may designate a drug or biologic as an orphan drug if it is a drug or biologic intended to treat a rare disease or condition, which is defined as a patient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population of fewer than 200,000 individuals annually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and biologics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and biologics intended for the diagnosis, prevention or treatment of a life-threatening, seriously debilitating or serious and chronic condition and when, without incentives, it is unlikely that sales of the drug or biologic in Europe would be sufficient to justify the necessary investment in developing the drug or biologic. In Europe, orphan drug designation entitles a party to a number of incentives, such as protocol assistance and scientific advice specifically for designated orphan medicines, and potential fee reductions depending on the status of the sponsor.</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Generally, if a drug or biologic with an orphan drug designation subsequently receives the first marketing approval for the indication for which it has such designation, the drug or biologic is entitled to a period of marketing exclusivity, which precludes the EMA, or the FDA from approving another marketing application for the same drug and for the same indication during the period of exclusivity, except in limited circumstances. The applicable period is seven years in the United States and 10 years in Europe. The European exclusivity period can be reduced to six years if a drug or biologic no longer meets the criteria for orphan drug designation or if the drug or biologic is sufficiently profitable such that market exclusivity is no longer justified.</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such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or biologic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or biologic to meet the needs of patients with the rare disease or condition. Orphan drug designation neither shortens the development time or regulatory review time of a drug or biologic nor gives the drug or biologic any advantage in the regulatory review or approval process. While we may seek orphan drug designation for applicable indications for our current and any future product candidates, we may never receive such designations. Even if we do receive such designation, there is no guarantee that we will enjoy the benefits of that designation.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one or more designations or expedited programs for one or more of our product candidates, but we might not receive such designations or be allowed to proceed on expedited program pathways, and even if we do and proceed on such expedited program pathways in the future, such designations or expedited programs may not lead to a faster development or regulatory review or approval process, and each designation does not increase the likelihood that any of our product candidates will receive marketing approval in the United States.</w:t>
      </w:r>
    </w:p>
    <w:p>
      <w:pPr>
        <w:spacing w:after="0" w:line="7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We have received fast track designation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adult patients with locally advanced or metastatic UC who had progressed on or after prior systemic therapies and may seek fast track designation for certain of our other product candidates. If a drug is intended for the treatment of a serious or life-threatening condition and nonclinical or clinical data for the drug demonstrates the potential to address an unmet medical need for such a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for any of our other product candidates.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Accordingly, even if we believe one of our future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Even if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or any of our other current or future product candidates obtains regulatory approval, we will be subject to ongoing obligations and continued regulatory review, which may result in significant additional expense. Additionally,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or any of our other current or future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9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 or any of our other current or future product candidates, the manufacturing facilities and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GCPs for any clinical trials that we conduct post-approval, all of which may result in significant expense and limit our ability to commercialize such products. In addition, any regulatory approvals that we or our partners receive a product candidate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CMOs will be subject to continual review and inspections to assess compliance with cGMP and adherence to commitments made in any approved regulatory application. Accordingly, we and others with whom we work must continue to expend time, money, and effort in all areas of regulatory compliance, including manufacturing, quality control, and distribution.</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 issuing warning letters or untitled letters, imposing fines on us, imposing restrictions on the product or its manufacture, and requiring us to recall or remove the product from the market. The regulators could also suspend any of our preclinical studies and clinical trials or suspend or withdraw our regulatory approvals, requiring us to conduct additional clinical trials, change our product labeling, or submit additional applications for marketing authorization. If any of these events occurs, our ability to sell such product may be impaired, and we may incur substantial additional expense to comply with regulatory requirements, which could materially adversely affect our business, financial condition, results of operations and prospects.</w:t>
      </w:r>
    </w:p>
    <w:p>
      <w:pPr>
        <w:spacing w:after="0" w:line="8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if we have any product candidate approved, our product labeling, advertising, and promotion will be subject to regulatory requirements and continuing regulatory review. In the United States, the FDA and the Federal Trade Commission, or the FTC, strictly regulate the promotional claims that may be made about pharmaceutical products to ensure that any claims about such products are consistent with regulatory approvals, not misleading or false, and adequately substantiated by clinical data. Physicians may use pharmaceutical products off-label in their professional medical judgment, as the FDA does not restrict or regulate a physician’s choice of diagnostic or treatment within the practice of medicine. However, the promotion of a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regulatory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Equivalent limitations and penalties are provided in the European Economic Area, or EEA, both at the supranational level and at the national level in the individual EEA countries.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Failure to comply with EU and EEA countries’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If regulatory sanctions are applied or if regulatory approval is withdrawn, the value of our company and our operating results will be adversely affected.</w:t>
      </w:r>
    </w:p>
    <w:p>
      <w:pPr>
        <w:spacing w:after="0" w:line="8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Moreover, the policies of the FDA and of comparable foreign regulatory authorities may change and additional government regulations may be enacted that could prevent, limit, or delay regulatory approval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or future product candidates. As an example, the regulatory landscape related to clinical trials in the EEA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EEA country, leading to a single decision for each EEA country. The assessment procedure for the authorization of clinical trials has been harmonized as well, including a joint assessment by all EEA countries concerned, and a separate assessment by each EEA country with respect to specific requirements related to its own territory, including ethics rules. Each EEA country’s decision is communicated to the sponsor via the centralized EU portal. Once the clinical trial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2022, the Clinical Trials Directive will continue to apply on a transitional basis for three years. Additionally, sponsors could choose to submit a clinical trial application under either the Clinical Trials Directive or the CTR until January 31, 2023. Where these trials were authorized on the basis of the Clinical Trials Directive, they will be governed by the Clinical Trials Directive until January 31, 2025. Commencing on February 1, 2025, all ongoing trials are subject to the provisions of the CTR. The CTR will apply to clinical trials from an earlier date if the clinical trial has already transitioned to the CTR framework. Compliance with the CTR requirements by us and our third-party service providers, such as CROs, may impact our developments plans.</w:t>
      </w:r>
    </w:p>
    <w:p>
      <w:pPr>
        <w:spacing w:after="0" w:line="9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In addition,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foreign regulatory authorities, including those caused by funding shortages or global health concerns could hinder their ability to hire, retain, or deploy key leadership and other personnel, or otherwise prevent new or modified drugs from being developed, approved, or commercialized in a timely manner or at all, which could negatively impact our business.</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ability of the FDA or comparable foreign regulatory authorities to review and approve new drugs can be affected by a variety of factors, including government budget reductions in force, and funding levels, statutory, regulatory, and policy changes, the FDA’s or comparable foreign regulatory authorities’ ability to hire and retain key personnel and accept the payment of user fees, pandemics and other public health crises, and other events that may otherwise affect the FDA’s or comparable foreign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Recent disruptions at the FDA and other agencies may also slow the time necessary for new drugs or modifications to approved drugs to be reviewed and/or approved by necessary regulatory authorities, which would adversely affect our business.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any future prolonged government shutdown occurs, or if renewed global health concerns, funding shortages or staffing limitations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conduct clinical trials for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in the future choose to conduct one or more additional clinical trials outside the United States, including in the EU, South Africa, Australia and/or Asia.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regulatory approval in the United States, the FDA will generally not approve the application based on foreign data alone unless: (i) the data is applicable to the U.S. population and U.S. medical practice; and (ii) the trials were performed by clinical investigators of recognized competence and pursuant to GCP regulations.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such jurisdiction.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principal investigators, consultants, vendors, customers, and third-party payors in the United States and elsewhere are subject, directly or indirectly, to applicable anti-kickback, fraud and abuse, false claims, physician payment transparency, health information privacy and security and other healthcare laws and regulations, which could expose us to criminal sanctions, civil penalties, contractual damages, reputational harm, administrative burdens, diminished profits and future earnings.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Healthcare providers, healthcare facilities and institutions, and third-party payors in the United States and elsewhere will play a primary role in the recommendation and prescription of any product candidates for which we obtain regulatory approval. Our future arrangements with healthcare professionals, healthcare facilities and institutions, principal investigators, consultants, customers, and third-party payors may expose us to broadly applicable fraud and abuse and other healthcare laws and regulations, including, without limitation, the federal Anti-Kickback Statute and the federal False Claims Act, or the FCA, which may constrain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or financial arrangements and relationships through which we research, sell, market, and distribute any product candidates for which we obtain regulatory approval. In addition, we may be subject to physician payment transparency laws and regulation by the federal government and by the states and foreign jurisdictions in which we conduct our business. The applicable federal, state, and foreign healthcare laws and regulations that affect our ability to operate include, but are not limited to, the following:</w:t>
      </w:r>
    </w:p>
    <w:p>
      <w:pPr>
        <w:spacing w:after="0" w:line="72" w:lineRule="exact"/>
        <w:rPr>
          <w:sz w:val="20"/>
          <w:szCs w:val="20"/>
          <w:color w:val="auto"/>
        </w:rPr>
      </w:pPr>
    </w:p>
    <w:p>
      <w:pPr>
        <w:jc w:val="both"/>
        <w:ind w:left="760" w:hanging="378"/>
        <w:spacing w:after="0" w:line="254"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without limitation, the civil FCA, which can be enforced by private citizens on behalf of the U.S. federal government through civil whistleblower or qui tam actions, and the federal civil monetary penalties law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among other things, engaging in impermissible marketing practices, such as the off-label promotion of a drug for an indication for which it has not received FDA approval. Further, pharmaceutical manufacturers can be held liable under the civil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FCA;</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86"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or the FDCA, which prohibits, among other things, the adulteration or misbranding of drugs, biologics, and medical devices;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drug prices to the government or provide certain discounts or rebates to government authorities or private entities, often as a condition of reimbursement under government healthcare programs;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among other things, certain manufacturers of drugs, devices, biologics, and medical supplies that are reimbursable under Medicare, Medicaid, or the Children’s Health Insurance Program, with specific exceptions, to report annually to the Centers for Medicare and Medicaid Services, or CMS, information related to certain payments and other transfers of value physicians (defined to include doctors, dentists, optometrists, podiatrists and chiropractors), certain other healthcare</w:t>
      </w:r>
    </w:p>
    <w:p>
      <w:pPr>
        <w:spacing w:after="0" w:line="3" w:lineRule="exact"/>
        <w:rPr>
          <w:sz w:val="20"/>
          <w:szCs w:val="20"/>
          <w:color w:val="auto"/>
        </w:rPr>
      </w:pPr>
    </w:p>
    <w:p>
      <w:pPr>
        <w:ind w:left="760" w:right="20"/>
        <w:spacing w:after="0" w:line="250" w:lineRule="auto"/>
        <w:rPr>
          <w:sz w:val="20"/>
          <w:szCs w:val="20"/>
          <w:color w:val="auto"/>
        </w:rPr>
      </w:pPr>
      <w:r>
        <w:rPr>
          <w:rFonts w:ascii="Times New Roman" w:cs="Times New Roman" w:eastAsia="Times New Roman" w:hAnsi="Times New Roman"/>
          <w:sz w:val="18"/>
          <w:szCs w:val="18"/>
          <w:color w:val="auto"/>
        </w:rPr>
        <w:t>professionals (such as physician assistants and nurse practitioners), and teaching hospitals, as well as ownership and investment interests held by such physicians and their immediate family members;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760" w:hanging="378"/>
        <w:spacing w:after="0" w:line="25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foreign jurisdictions, including reporting requirements detailing interactions with and payments to healthcare providers.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7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We have entered into consulting and scientific advisory board arrangements with physicians and other healthcare providers, including some who could influence the use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of any of our other current or future product candidates, if approved. Compensation under some of these arrangements includes the provision of stock or stock options in addition to cash consideration. Because of the complex and far-reaching nature of these laws, it is possible that if our products are commercialized, governmental authorities could conclude that our business practices do not comply with current or future statutes, regulations, agency guidance or case law involving applicable fraud and abuse or other healthcare laws and regulations.</w:t>
      </w:r>
    </w:p>
    <w:p>
      <w:pPr>
        <w:spacing w:after="0" w:line="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If any of the physicians or other providers or entities with whom we expect to do business are found to be in violation of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policy changes may have a material adverse effect on our business, financial condition, results of operations and prospects.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enacted in March 2010, made several substantial changes in the way healthcare is financed by both governmental and private insurers, and significantly impacted the U.S. pharmaceutical industry. Some ways in which the ACA may significantly impact our business include provisions regarding coordination and promotion of research on comparative clinical effectiveness of different technologies and procedures, initiatives to revise Medicare payment methodologies, and initiatives to promote quality indicators in payment methodologies.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There have been legal and political challenges to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current or evolving federal policies regarding healthcare reform measures will impact the ACA or our business.</w:t>
      </w:r>
    </w:p>
    <w:p>
      <w:pPr>
        <w:spacing w:after="0" w:line="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Since the ACA’s passage, legislative changes to the ACA have been proposed and adopted.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ACA’s enhanced advanced premium tax credits, set to expire in 2025, which, among other provisions in the law, are anticipated to reduce the number of Americans with health insurance. Additionally, under the sequestration required by the Budget Control Act of 2011, beginning April 1, 2013, Medicare payments to providers were reduced, which will remain in effect through 2032 unless additional Congressional action is taken. On March 11, 2021, the American Rescue Plan Act of 2021 was signed into law, which eliminated the statutory cap on the Medicaid drug rebate effective January 1, 2024. The rebate was previously capped at 100% of a drug’s average manufacturer price.</w:t>
      </w:r>
    </w:p>
    <w:p>
      <w:pPr>
        <w:spacing w:after="0" w:line="8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drugs, which has resulted in several presidential executive orders,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began to take effect progressively in fiscal year 2023, although the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At the state level, legislatures are increasingly passing legislation and implementing regulations designed to control pharmaceutical and biological drug pricing, including price or patient reimbursement constraints, discounts, restrictions on certain drug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Our ability to develop and market new drug products may be impacted if litigation challenging the FDA’s approval of another company’s drug continues.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and remanded that decision after unanimously finding that the plaintiffs did not have standing to bring this legal action against the FDA. Depending on the outcome of this litigation, if it continues, our ability to develop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or future product candidates we may develop may be at risk and could be delayed, undermined or subject to protracted litigation. Finally,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for example, the court overruled </w:t>
      </w:r>
      <w:r>
        <w:rPr>
          <w:rFonts w:ascii="Times New Roman" w:cs="Times New Roman" w:eastAsia="Times New Roman" w:hAnsi="Times New Roman"/>
          <w:sz w:val="18"/>
          <w:szCs w:val="18"/>
          <w:i w:val="1"/>
          <w:iCs w:val="1"/>
          <w:color w:val="auto"/>
        </w:rPr>
        <w:t>Chevron U.S.A.,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Resources Defense Council, Inc.</w:t>
      </w:r>
      <w:r>
        <w:rPr>
          <w:rFonts w:ascii="Times New Roman" w:cs="Times New Roman" w:eastAsia="Times New Roman" w:hAnsi="Times New Roman"/>
          <w:sz w:val="18"/>
          <w:szCs w:val="18"/>
          <w:color w:val="auto"/>
        </w:rPr>
        <w:t>, which for 40 years required federal courts to defer to permissible agency interpretations of statutes that are silent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ambiguous on a particular topic. The U.S. Supreme Court stripped federal agencies of this presumptive deference and held that courts must exercise their independent judgment when deciding whether an agency such as FDA acted within its statutory authority under the Administrative Procedure Act, or the APA. Additionally, in </w:t>
      </w:r>
      <w:r>
        <w:rPr>
          <w:rFonts w:ascii="Times New Roman" w:cs="Times New Roman" w:eastAsia="Times New Roman" w:hAnsi="Times New Roman"/>
          <w:sz w:val="18"/>
          <w:szCs w:val="18"/>
          <w:i w:val="1"/>
          <w:iCs w:val="1"/>
          <w:color w:val="auto"/>
        </w:rPr>
        <w:t>Corner Post, Inc. v. Board of Governors of the Federal Reserve System</w:t>
      </w:r>
      <w:r>
        <w:rPr>
          <w:rFonts w:ascii="Times New Roman" w:cs="Times New Roman" w:eastAsia="Times New Roman" w:hAnsi="Times New Roman"/>
          <w:sz w:val="18"/>
          <w:szCs w:val="18"/>
          <w:color w:val="auto"/>
        </w:rPr>
        <w:t>, the court held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8"/>
          <w:szCs w:val="18"/>
          <w:color w:val="auto"/>
        </w:rPr>
        <w:t>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These decisions could introduce additional uncertainty into the regulatory process and may result in additional legal challenges to actions taken by federal regulatory agencies, including the FDA and the CMS that we rely on. In addition to potential changes to regulations as a result of legal challenges, these decisions may result in increased regulatory uncertainty and delays and other impacts, any of which could adversely impact our business and operations. Furthermore, recent changes to the leadership of federal agencies like HHS, CMS and FDA can lead to new policies and regulations that can have a material impact on our industry and business operations.</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Many EEA countries periodically review their reimbursement procedures for medicinal products, which could have an adverse impact on reimbursement status.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EEA countries, we may be required to compile additional data comparing the cost-effectiveness of our products to other available therapies. Health Technology Assessment, or HTA, of medicinal products is becoming an increasingly common part of the pricing and reimbursement procedures in some EEA countries,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HTA amending Directive 2011/24/EU, was adopted in the EU. This Regulation, which entered into force in January 2022 and will apply as of January 2025, is intended to boost cooperation among EEA countries in assessing health technologies, including new medicinal products, and providing the basis for cooperation at EEA level for joint clinical assessments in these areas. The Regulation foresees a three-year transitional period and will permit EEA countries to use common HTA tools, methodologies, and procedures across the EEA,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EEA countries will continue to be responsible for assessing non-clinical (e.g., economic, social, ethical) aspects of health technologies, and making decisions on pricing and reimbursement. If we are unable to maintain favorable pricing and reimbursement status in EEA countries for product candidates that we may successfully develop and for which we may obtain regulatory approval, any anticipated revenue from and growth prospects for those products in the EEA could be negatively affected.</w:t>
      </w:r>
    </w:p>
    <w:p>
      <w:pPr>
        <w:spacing w:after="0" w:line="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EEA may continue to propose and implement cost-containing measures to keep healthcare costs down; particularly due to the financial strain that the COVID-19 pandemic placed on national healthcare systems of the EEA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EEA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supranational or national level, or how any future legislation or regulation may affect us, any of which may have a materially adverse effect on our business, financial condition,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coverage and adequate reimbursement may not be available or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product products vary widely from country to country. Some countries require approval of the sale price of a drug product before it can be marketed or may require us or our collaborators to conduct clinical trials that compare the cost-effectiveness of our product candidates to other therapies to obtain reimbursement or pricing approval. In many countries, the pricing review period begins after regulatory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recoup our investment in one or more product candidates, even if [</w:t>
      </w:r>
      <w:r>
        <w:rPr>
          <w:rFonts w:ascii="Times New Roman" w:cs="Times New Roman" w:eastAsia="Times New Roman" w:hAnsi="Times New Roman"/>
          <w:sz w:val="23"/>
          <w:szCs w:val="23"/>
          <w:color w:val="auto"/>
          <w:vertAlign w:val="superscript"/>
        </w:rPr>
        <w:t>225</w:t>
      </w:r>
      <w:r>
        <w:rPr>
          <w:rFonts w:ascii="Times New Roman" w:cs="Times New Roman" w:eastAsia="Times New Roman" w:hAnsi="Times New Roman"/>
          <w:sz w:val="17"/>
          <w:szCs w:val="17"/>
          <w:color w:val="auto"/>
        </w:rPr>
        <w:t>Ac]Ac-AKY-1189 or any of our future product candidates obtain regulatory approval.</w:t>
      </w:r>
    </w:p>
    <w:p>
      <w:pPr>
        <w:spacing w:after="0" w:line="6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Even if we succeed in bringing one or more products to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coverage and reimbursement. Increasingly, the third-party payors who reimburse patients or healthcare providers are requiring that drug companies provide them with predetermined discounts from list prices, and are seeking to reduce the prices charged or the amounts reimbursed for drug products. Moreover, no uniform policy requirement for coverage and reimbursement for drugs exists among third-party payors in the United States, which may result in significant variations in coverage and reimbursement from payor to payor. Even if favorable coverage and reimbursement status is attained for one or more drug products for which we receive regulatory approval, less favorable coverage policies and reimbursement rates may be implemented in the future. If the price we are able to charge for any products we develop, or the coverage and reimbursement provided for such products, is inadequate in light of our development and other costs, our return on investment could be affected adversely.</w:t>
      </w:r>
    </w:p>
    <w:p>
      <w:pPr>
        <w:spacing w:after="0" w:line="8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and/or impose price controls may adversely affect:</w:t>
      </w:r>
    </w:p>
    <w:p>
      <w:pPr>
        <w:spacing w:after="0" w:line="61"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 if we obtain regulatory approval;</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inability to promptly obtain and maintain coverage and adequate reimbursement from both third-party payors for the product candidates that we may develop and for which we obtain regulatory approval could adversely affect our business, financial condition, results of operations, and prospects.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and our third-party service providers are subject to a variety of stringent and evolving U.S. and foreign laws, regulations, rules, contractual obligations, policies and industry standards related to data privacy and cybersecurity, which could increase compliance costs, and our actual or perceived failure to comply therewith could subject us to regulatory investigations or actions, litigation, fines or penalties, disruptions of our business operation, reputational harm, loss of revenue or profits, and other adverse business consequences.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process a large quantity of sensitive information, including proprietary and confidential business information and other personal information, and we and our collaborators and third-party service providers are subject to various federal, state, local and foreign data privacy and cybersecurity laws, rules and regulations relating to the privacy, security and processing of personal information.</w:t>
      </w:r>
    </w:p>
    <w:p>
      <w:pPr>
        <w:spacing w:after="0" w:line="6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global data privacy and cybersecurity landscape is rapidly evolving, and we and our collaborators and third-party service providers may be affected by or subject to new, amended, or existing laws, rules and regulations, including as our operations continue to expand or if we operate in foreign jurisdictions. These laws, rules and regulations may be subject to differing interpretations, which adds to the complexity of processing personal information. Guidance on implementation and compliance practices are often updated or otherwise revised. This evolution may create uncertainty in our business, affect our ability to operate in certain jurisdictions or to collect, store, transfer, use, share or otherwise process personal information, necessitate the acceptance of more onerous obligations in our contracts, result in liability or impose additional costs on us. If we fail or are perceived to have failed to comply with these laws, rules and regulations, we may be subject to litigation, regulatory investigations, enforcement notices, enforcement actions, fines, imprisonment of company officials and public censure, claims for damages by affected individuals, and criminal or civil penalties, as well as negative publicity, reputational harm, loss of goodwill and a potential loss of business, any of which could have a material adverse effect on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6" w:name="page67"/>
    <w:bookmarkEnd w:id="66"/>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state and local laws, rules and regulations, including state data breach notification laws and federal and state data privacy laws, rules and regulations that govern the collection, use, disclosure, protection, transfer and other processing of health information and other personal information apply to our operations and the operations of our collaborators and third-party service providers. Each of these laws, rules and regulations is subject to varying interpretations and constantly evolving.</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example, HIPAA, as amended by HITECH, and regulations promulgated thereunder impose certain obligations with respect to safeguarding the privacy, security, transmission and other processing of individually identifiable health information on “covered entities,” and their respective “business associates,” as well as their covered subcontractors, that perform services for them.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protected health information, or otherwise violate applicable HIPAA requirements related to the protection of such information. Moreover, determining whether protected health information has been handled in compliance with applicable privacy standards and our contractual obligations with third parties can be complex and may be subject to changing interpretation. If we are unable to properly protect the privacy and security of protected health information, we could be found to have breached our contracts. The HHS has the discretion to impose penalties without attempting to first resolve violations. HHS enforcement activity can result in financial liability and reputational harm, and responses to such enforcement activity can consume significant internal resources.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a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connection with our clinical trials, we may maintain sensitive identifiable personal information, including health information, that we receive throughout the clinical trial process, during our research collaborations, and directly from individuals (or their healthcare providers) who enroll in our patient assistance programs. As such, we may become subject to further obligations under HIPAA.</w:t>
      </w:r>
    </w:p>
    <w:p>
      <w:pPr>
        <w:spacing w:after="0" w:line="8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our collection of personal information generally may subject us and our collaborators and third-party service providers to state data privacy laws governing the processing of personal information, including requiring us to reasonably protect certain types of personal information we hold or to otherwise comply with certain specified cybersecurity requirements with respect to personal information and requiring notification of affected individuals and state regulators in the event of a breach of such personal information in certain instances. For example, these state laws include the California Consumer Privacy Act, as amended by the California Privacy Rights Act, or collectively the CCPA, and applies to personal information of consumers, business representatives and employees that are California residents and requires covered businesses to make disclosures to consumers about their data collection, use and sharing practices, allows consumers to opt out of certain data sharing with third parties and provides a cause of action for data breaches. The CCPA provides for significant civil penalties of up to $7,500 per violation as well as a private right of action for certain data breaches and statutory damages. Although there are limited exemptions for clinical trial data and some other health data under the CCPA, the CCPA and other similar laws may impact our business activities and increase our compliance costs. Additionally, the California Privacy Rights Act, effective in most material respects as of January 1, 2023, expanded data privacy and cybersecurity compliance requirements and consumers’ rights under the CCPA including by, among other things, giving California residents the ability to correct their personal information and limit use of certain sensitive personal information, establishing restrictions on the retention of personal information, expanding the types of data breaches subject to the CCPA’s private right of action, and establishing a new California Privacy Protection Agency to implement and enforce the law. Other states, including but not limited to Virginia, Colorado, Utah, and Connecticut, have also passed comprehensive privacy laws, and similar laws are being considered in several other states (including Washington, which enacted the My Health, My Data Act in 2023), as well as at the federal and local levels. While many of these states, like California, also exempt some data processed in the context of clinical trials, these laws could have potentially conflicting requirements that further complicate compliance efforts, and increase legal risk and compliance costs for us, and the third parties upon whom we rely.</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clinical trial programs and research collaborations that we engage in outside the United States may implicate international data protection laws, including, in Europe, the General Data Protection Regulation, or GDPR, and the United Kingdom’s GDPR, combining the GDPR and the UK’s Data Protection Act of 2018, or the UK GDPR. The GDPR and UK GDPR govern the collection, use, disclosure, transfer or other processing of personal data of individuals within the EEA and UK and impose stringent operational requirements for data processors and controllers of personal data. For example, the GDPR and UK GDPR impose onerous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accountability obligations requiring data controllers and processors to maintain a record of their data processing and policies. The GDPR and UK GDPR also impose certain other onerous obligations, including obligations for controllers and processors to appoint data protection officers in certain circumstances, increased transparency obligations to data subjects for controllers, obligations to honor increased rights for data subjects, and obligations to implement certain technical and organizational safeguards to protect the security and confidentiality of personal data. The GDPR and UK GDPR also provide that EEA member states and the UK make their own further laws, rules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This fact may lead to greater divergence on the law that applies to the processing of such data types across the EEA and the UK, compliance with which, as and where applicable, may increase our costs and could increase our overall compliance risk. Such member state specific regulations could limit our ability to collect, use and share data in the context of any future EEA or UK establishments (regardless of where any processing in question occurs). Among other things, the GDPR and UK GDPR require detailed notices for clinical trial subjects and investigators as well as the security of personal information, and notification of data processing obligations or security incidents to appropriate data protection authorities or data subjects. In addition, the GDPR and UK GDPR materially expanded the definition of what constitutes personal data (including, for example, by expressly clarifying that the GDPR applies to “pseudonymized” and key-coded data).</w:t>
      </w:r>
    </w:p>
    <w:p>
      <w:pPr>
        <w:spacing w:after="0" w:line="7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Since January 1, 2021, when the transitional period following the exit of the UK from the EU, or Brexit, expired, companies required to comply with the GDPR are also required to comply with the UK GDPR, which exposes these companies to two parallel regimes, each of which authorizes similar fines and may subject them to increased compliance risk based on differing, and potentially inconsistent or conflicting, interpretation and enforcement by regulators and authorities (particularly, if the laws are amended in the future in divergent ways). While the GDPR and the UK GDPR remain substantially similar for the time being, the government of the UK has adopted reforms to its data privacy and cybersecurity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With respect to transfers of personal data from the EEA,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However, the UK adequacy decision will automatically expire in December 2031 unless the European Commission re-assesses and renews or extends that decision and remains under review (and may be modified or revoked) by the Commission during this period. In addition, transfers of personal data from the UK to other countries, including the EEA, are subject to specific transfer rules under the UK regime.</w:t>
      </w:r>
    </w:p>
    <w:p>
      <w:pPr>
        <w:spacing w:after="0" w:line="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GDPR and UK GDPR impose substantial fines for breaches and violations (up to the greater of €20 million or 4% of consolidated annual worldwide gross revenue under the GDPR or GBP 17.5 million under the UK GDPR). In addition to administrative fines, a wide variety of other potential enforcement powers are available to competent supervisory authorities in respect of potential and suspected violations of the GDPR or the UK GDPR, including extensive audit and inspection rights, and powers to order temporary or permanent bans on all or some processing of personal data carried out by non-compliant actors The GDPR and UK GDPR also confer a private right of action on data subjects and consumer associations to lodge complaints with supervisory authorities, seek judicial remedies and obtain compensation for damages resulting from violations of the GDPR or the UK GDPR. Further, the exit of the UK from the EU and ongoing developments in the UK have created uncertainty regarding data protection regulation in the UK.</w:t>
      </w:r>
    </w:p>
    <w:p>
      <w:pPr>
        <w:spacing w:after="0" w:line="8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or DPF, rendering the DPF effective as a GDPR transfer mechanism for personal data transferred from the EEA to the United States by United States entities self-certified under the DPF. However, the DPF adequacy decisions do not foreclose, and are likely to face,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Loss of our ability to lawfully transfer personal data out of the EEA and UK to the United States or any other jurisdictions may require us to increase our data processing capabilities in the EEA and UK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collaborators, vendors or other third-party service providers that store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or otherwise process personal data on our behalf, such as information technology vendors, and any of the foregoing limitations could impact our ability to work with such collaborators or third-party service providers in certain jurisdictions.</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bound by contractual obligations related to data privacy and cybersecurity, and our efforts to comply with such obligations may not be successful. For example, certain data privacy laws, such as the EU GDPR, the UK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cybersecurity.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and cybersecurity are quickly changing, becoming increasingly stringent, and creating regulatory uncertainty. Additionally, these obligations may be subject to differing applications and interpretations, which may be inconsistent or conflicting among jurisdictions. We are likely to be required to expend significant capital and other resources to ensure ongoing compliance with applicable data privacy and cybersecurity laws. Claims that we have violated individuals’ privacy rights or breached our contractual obligations or policies, even if we are not found liable, could be expensive and time-consuming to defend, and could result in adverse publicity that could harm our business. Moreover, even if we take all necessary action to comply with legal and regulatory requirements, we could be subject to data breaches or other unauthorized access of personal information or other sensitive or confidential information, which could subject us to fines and penalties, as well as litigation and reputational damage and other adverse consequences.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we or our collaborators or our third-party service providers fail to keep apprised of and comply with applicable international, federal, state, or local regulatory requirements, we could be subject to a range of regulatory actions that could affect our or any collaborators’ ability to seek to commercialize our product candidates. Any threatened or actual governmental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With laws, rules, regulations, and other obligations relating to data privacy and cybersecurity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cybersecurity laws, rules and regulations and have not completed formal assessments of whether we are in compliance with all applicable data privacy and cybersecurity laws, rules and regulations. Additionally, if third parties with which we work, such as our collaborators, vendors or other third-party service providers, violate applicable laws, rules or regulations or our policies, such violations may also put our or our clinical trial and employee data, including personal or other sensitive or confidential information, at risk, and our business, financial condition, results of operations, and prospects may be adversely affected.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expect to have direct or indirect interactions with officials and employees of government agencies or government-affiliated hospitals, universities, and other organizations, and we expect our international activities to increase in time. We may engage third parties to conduct clinical trials, obtain necessary permits, licenses, patent registrations and other regulatory approvals or sell our products outside the United States, to conduct clinical trials, and/or to obtain necessary permits, licenses, patent registrations, and other regulatory approvals.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export or import privileges, debarment, tax reassessments, breach of contract and fraud litigation, reputational harm, and other consequences.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including radioactive materials and gas.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 xml:space="preserve">Our use of facilities that use and produce radioactive materials subjects us to compliance with decommissioning and decontamination, or D&amp;D, requirements when we close those facilities, exposing us to potentially significant costs. Our product candidates are manufactured using radioactive components, such as the radioisotope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When one of such facilities reaches the end of its useful life or if we need to abandon such facility for any other reason, we are obligated under the laws and regulatory rules of the various jurisdictions in which we operate to decommission and decontaminate such facility. We have no experience with D&amp;D, and the costs of such D&amp;D may be substantial. Estimating the amount and timing of such future D&amp;D costs includes, among other factors, country-specific requirements and projections as to when a facility will retire or the useful life of a facility. If we do not conduct D&amp;D properly at any of our sites, we may suffer significant additional costs to remediate any D&amp;D deficiencies, fines, regulatory or criminal charges or other sanction or legal action, any of which could have a material adverse effect upon our business, financial condition and results of operations. Although we have estimated our future D&amp;D costs and recorded a liability for such costs, there can be no assurances that we will not incur material D&amp;D costs beyond such estimates or our provisions.</w:t>
      </w:r>
    </w:p>
    <w:p>
      <w:pPr>
        <w:spacing w:after="0" w:line="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and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to comply with current or future environmental, health and safety laws and regulations. Current or future environmental laws and regulations may impair our research, development, and production efforts, which could harm our business, financial condition, results of operations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build and operate our own manufacturing facility for preclinical and clinical supply needs, which will require significant resources, and we may fail to successfully establish and operate our facility, which could adversely affect our clinical trials and the commercial viability of our product candidates.</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currently establishing and building a manufacturing facility, in addition to our reliance on CDMOs for the manufacture of our product candidates for preclinical and clinical needs. We expect that construction of our own manufacturing facility will provide us with enhanced control of material supply for preclinical studies and clinical trials, enable the more rapid implementation of process changes, and allow for better long-term cost efficiencies. However, we have no experience as a company in construction of a manufacturing facility and may never be successful in building our own manufacturing facility or capability. As a result, we will also need to hire additional personnel to manage our operations and facilities and develop the necessary infrastructure to continue the research and development and manufacture of our product candidates. We, as a company, have no experience in setting up, building, or eventually managing a manufacturing facility. If we fail to complete the planned construction and buildout in an efficient manner, or fail to recruit the required personnel and generally manage our growth effectively, the development and production of our product candidates could be curtailed or delayed.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Furthermore, if we are successful in building our own manufacturing facility, we will continue to be reliant on our CDMOs for clinical and commercial supply, if our product are approved, and their continued compliance with relevant regulations.</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of operations, and prospects. Problems in our manufacturing process could restrict our ability to meet clinical and market demand for our products.</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Even after our planned manufacturing facility is operating, we will continue to rely on third parties to manufacture our product candidates. Our business could be harmed if those third parties fail to provide us with sufficient quantities of product supplies or product candidates, or fail to do so at acceptable quality levels or prices.</w:t>
      </w:r>
    </w:p>
    <w:p>
      <w:pPr>
        <w:spacing w:after="0" w:line="6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them is complex, highly regulated and subject to multiple risks. As a result of these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have experienced manufacturing deviations and similar issues in the past, and may experience similar issues in the future. We cannot assure you that any stability failures or other issues relating to the manufacture of our product candidates will not occur in the future. Any such issues could cause delays in our development plans. 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Even if we are able to complete our manufacturing facility, we will continue to rely on U.S.-based third-party manufacturers or third-party collaborators for the manufacture of our product candidates and for commercial supply of any of our product candidates for which we or any of our potential future collaborators obtain marketing approval. We may be unable to maintain agreements with our existing third-party manufacturers, or to establish additional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manufacturers is limited and any new manufacturers are subject to the FDA’s review and approval of a supplemental BLA. This approval would require new testing and may require pre-approval inspections of the new manufacturer by the FDA. In addition, a new manufacturer would have to be educated in, or develop substantially equivalent processes for, production of our products;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third-party manufacturers are located in United States and we may encounter issues with exporting our product candidates into foreign jurisdictions;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be able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are subject to ongoing periodic unannounced inspection by the FDA and corresponding state agencies to ensure strict compliance with GMPs and other government regulations and corresponding foreign standards. We do not have control over third-party manufacturers’ compliance with these and/or any other applicable regulations and standards;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terminate or not renew their agreement with us at a time that is costly or inconvenient for us;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product or placebo not being properly identified;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product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have unacceptable or inconsistent product quality success rates and yields.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third-party manufacturers and clinical reagent suppliers may be subject to regulatory requirements or sanctions, as well as damage or interruption from, among other things, fire, natural or man-made disaster, power loss, telecommunications failure, unauthorized entry, computer viruses, denial-of-service attacks, acts of terrorism, human error, vandalism or sabotage, financial insolvency, bankruptcy and similar events.</w:t>
      </w:r>
    </w:p>
    <w:p>
      <w:pPr>
        <w:spacing w:after="0" w:line="6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We currently engage WuXi Biologics (Hong Kong) Limited, or WuXi, with respect to the manufacture of miniprotein variants and recombinant production and pharmacokinetic studies unrelated to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Certain Chinese biotechnology companies and CMOs, including WuXi, may in the future become subject to trade restrictions, sanctions, and other regulatory requirements by the U.S. government, which could restrict or even prohibit our ability to work with such entities, thereby potentially disrupting the supply of material to us. The recently proposed BIOSECURE Act would have banned U.S. government contracts, grants, and loans from being used towards biotechnology equipment and services produced or provided by certain named Chinese biotechnology companies, including WuXi, and would authorize the U.S. government to name additional Chinese biotechnology companies of concern. The legislation did not pass the U.S. Congress in 2024; however, on December 18, 2025, the BIOSECURE Act was passed as part of the final Fiscal Year 2026 National Defense Authorization Act. Although the newly passed act does not explicitly name WuXi, or any other companies in the statute, the BIOSECURE Act bans federal procurement or funding associated with “biotechnology companies of concern” and restricting use of their equipment and services in federal contracts, grants, and loans. The implementation of the act will be phased in over a period of years, and could severely restrict the ability of companies to work with certain Chinese biotechnology companies of concern without losing the ability to contract with, or otherwise receive funding from, the U.S. government.</w:t>
      </w:r>
    </w:p>
    <w:p>
      <w:pPr>
        <w:spacing w:after="0" w:line="8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new administration has substantially altered prior U.S. government international trade policy and has commenced activities to renegotiate, or potentially terminate, certain existing bilateral or multi-lateral trade agreements and treaties with foreign countries. In addition, the new administration has initiated or is considering imposing tariffs on certain foreign goods. Related to this action, certain foreign governments, including China, have instituted or are considering imposing tariffs on certain U.S. goods. It remains unclear what the new policies by the U.S government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U.S. or to sell our products outside the U.S. at competitive prices and/or to affect the U.S. or global economy or certain sectors thereof and, thus, could adversely impact our business.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the third parties we engage to supply materials or manufacture product candidates or products for preclinical testing or clinical or commercial supply should cease to do so for any reason, we would likely experience delays in advancing these preclinical tests and clinical trials and/or interruptions in commercial supply while we identify and qualify replacement suppliers or manufacturers, and we may be unable to obtain replacement supplies on terms that are favorable to us, or at all. If we are not able to obtain adequate supplies of our product candidates or products or the substances used to manufacture them, it could materially and adversely impact our business, prospects, operating results or financial condition.</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ongoing and future clinical trials or the approval of any of our product candidates by the FDA, result in higher costs or adversely impact commercialization of our product candidates. Any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may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may be subject to inspections that will be conducted after we submit our BLA to the FDA. We do not have complete control over all aspects of the manufacturing process of, and are dependent on, our contract manufacturing partners for compliance with cGMP regulations.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 may be unable to obtain a sufficient supply of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 or other radioisotopes to support clinical development or manufacturing at commercial scale.</w:t>
      </w:r>
    </w:p>
    <w:p>
      <w:pPr>
        <w:spacing w:after="0" w:line="66"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is a key component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Ac]Ac-AKY-2519 and, as a radiopharmaceutical company, we expect our future product candidates to include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or other isotopes. Although we believe our present suppliers have adequate quantities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and labeling isotopes available to meet our current needs, we may encounter supply shortages which could affect our business operations and results of operations. There can be no assurance that our suppliers will renew the contracts on acceptable terms, or at all. Further, long-term suppliers are not yet producing beyond minimal research quantities and there is no guarantee they will come online in the time frame we expect. Even when a contract exists, we have very limited recourse under our current supply contracts if a supplier is unable to meet its obligations. Suppliers may be unable to meet their obligations for a number of reasons, for example, the U.S. Department of Energy has reserved its ability to cancel private orders when the supply is instead needed for national defense, environmental safety or there is a lack of capacity, and the likelihood of any such cancellation may be increased for a number of reasons. There are not many alternatives to our current suppliers, and finding any replacement suppliers would divert management resources. Failure to acquire enough medical-grade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would make it impossible to effectively complete clinical trials, especially as we scale up for later-stage clinical trials, and to commercialize any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Ac-based product candidates that we may develop and would materially harm our business.</w:t>
      </w:r>
    </w:p>
    <w:p>
      <w:pPr>
        <w:spacing w:after="0" w:line="28" w:lineRule="exact"/>
        <w:rPr>
          <w:sz w:val="20"/>
          <w:szCs w:val="20"/>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 xml:space="preserve">To date, we have obtained the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for our ongoing Phase 1b clinical trial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Ac]Ac-AKY-1189 from several United States and foreign-based suppliers pursuant to long-term supply agreements. In the event we are unable to source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 xml:space="preserve">Ac from our current suppliers, we may seek to source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from other sources, including those located in Russia. This could expose us to additional environmental and geopolitical risks, including restrictions on trade of certain items between the United States and Russia, and other unforeseen geopolitical factors that limit our ability to access our supply of raw material. For example, any Russian supplier may become designated on export-or sanctions-related restricted party lists maintained by the U.S. government. Our ability to conduct clinical trials to advance our product candidates is dependent on our ability to obtain these radioisotopes and other isotopes we may choose to utilize in the future. We expect to remain dependent on third-party manufacturers and suppliers for our isotopes. These parties may not perform their contracted services or may breach or terminate their agreements with us. Our suppliers are subject to regulations and standards that are overseen by regulatory and government agencies and we have no control over our suppliers’ compliance to these standards. Failure to comply with regulations and standards may result in their inability to supply isotope could result in delays in our clinical trials, which could have a negative impact on our business. Our inability to build out and establish our own manufacturing facilities would require us to continue to rely on third-party suppliers, as we currently do.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methods of manufacturing or formulation of our product candidates may result in additional costs or delay.</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our product candidates progress through clinical trials to regulatory approval and commercialization, it is common that various aspects of the development program, such as manufacturing methods and formulation, may be altered along the way in an effort to optimize safety, efficacy, yield, and manufacturing batch size, minimize costs, and achieve consistent quality and results. There can be no assurance that any future manufacturing or formulation changes will achieve their intended objectives. These changes and any future changes we may make to our product candidates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our ability to commercialize our product candidates, if approved, and generate revenue.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Risks related to related to our dependence on third parties</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the Phase 1b clinical trial of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and plan to rely on third parties to conduct our future clinical trials. If these third parties do not properly and successfully carry out their contractual duties or meet expected deadlines, we may not be able to obtain regulatory approval of or commercialize our product candidates.</w:t>
      </w:r>
    </w:p>
    <w:p>
      <w:pPr>
        <w:spacing w:after="0" w:line="91"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color w:val="auto"/>
        </w:rPr>
        <w:t>We depend and will continue to depend on independent investigators and collaborators, such as medical institutions, CROs, CMOs, CDMOs, and strategic partners to conduct our preclinical studies and clinical trials, including with respect to our ongoing Phase 1b clinical trial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expect to have to negotiate budgets and contracts with CROs, CDMOs, CMOs and trial sites which may result in delays to our development timelines and increased costs. We will rely heavily on these third parties over the course of our clinical trials, and we control only certain aspects of their activities. As a result, we will have less direct control over the conduct, timing and completion of these clinical trials and the management of data developed through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similar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 regulations, and will require a large number of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result of the bankruptcy of one our CROs in 2025, we migrated to another provider. Switching or adding third parties to conduct our clinical trials or preclinical studies involves substantial cost and requires extensive management time and focus and may ultimately be unsuccessful. In addition, there is a natural transition period when a new third party commences work. As a result, delays occur, which can materially impact our ability to meet our desired clinical development timelines.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place certain collaboration and licensing arrangements, and may form or seek collaborations, strategic alliances or licensing arrangements in the future, and we may not realize the benefits of such collaborations, alliances or licensing arrangements.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in place certain collaboration and licensing arrangements, and in the future,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For example, in May 2024, we entered into a research, collaboration and license agreement with Eli Lilly to discover and generate novel tumor-targeting radiopharmaceuticals. For more information on this and other arrangements, see “Business—License and collaboration agreements.” Any of these current or future relationships may require us to incur non-recurring and other charges, increase our near and long-term expenditures, issue securities that dilute our existing shareholders or disrupt our management and business. We cannot guarantee you that our current or future partners will not terminate their collaboration, or seek to change terms of the collaboration, with us.</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as having the requisite potential to demonstrate safety, potency and purity and obtain marketing approval. In certain cases, when we collaborate with a third party for the development and commercialization of a product candidate, we can expect to relinquish some or all of the control over the future success of that product candidate to the third party.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enforce, protect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54"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current or future collaborations, joint ventures, strategic partnerships or licensing arrangements if we are unable to successfully integrate them with our existing operations and company culture, which could delay our timelines or otherwise adversely affect our business. If our existing or future collaborations are terminated or suspended, we may not be able to identify other suitable collaborators or reach agreement with other suitable collaborators on a timely basis, on acceptable terms or at all. If we are unable to continue our current or future collaborations or are unable to identify or reach agreement with other suitable collaborators, we may have to curtail the development of a product candidate, reduce or delay its development program or one or more of our other development programs, delay its potential commercialization or reduce the scope of any sales or marketing activities, increase our expenditures or needs for additional capital to pursue further development or commercialization of the applicable product candidates or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and generate product sales revenue, which would harm our business prospects, financial condition and results of operation.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Any of the foregoing could have a material adverse effect on our business, prospects, financial condition and results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such as CROs, CDMOs, CMOs, use hazardous and biological materials in a manner that causes injury or violates applicable law, we may be liable for damages.</w:t>
      </w:r>
    </w:p>
    <w:p>
      <w:pPr>
        <w:spacing w:after="0" w:line="51"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 xml:space="preserve">Our research and development activities may involve the controlled use of potentially hazardous substances, including chemicals and biological and radioactive materials, by us or third parties, such as CROs, CDMOs and CMOs. The use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Ac-labeled miniproteins treatments involves the inherent risk of exposure from gamma ray emissions, which can alter or harm healthy cells in the body. We and such third parties are subject to federal, state, provincial and local laws and regulations in the United States and other foreign jurisdictions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provincial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provincial,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We cannot ensure that our compliance controls, policies, and procedures will in every instance protect us from acts committed by our employees, agents, contractors, directors or collaborators that would violate the laws or regulations of the jurisdictions in which we operate, including, without limitation, employment, foreign corrupt practices, trade restrictions and sanctions, environmental, competition, securities, and patient privacy and other privacy laws and regulations. Misconduct by employees could include failures to comply with FDA regulations and equivalent foreign regulations, provide accurate information to the FDA or competent foreign regulatory authorities, comply with manufacturing standards we may establish, comply with federal and state or national healthcare fraud and abuse laws and regulations, report financial information or data accurately, or disclose unauthorized activities to us.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labeling,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In addition, our reputation may be harmed if any of our employees, directors, independent contractors, principal investigators or consultants are found to have been involved in similar misconduct outside of their services to our Company.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monetary fines, individual imprisonment, disgorgement of profits, possible exclusion from participation in Medicare, Medicaid and other federal healthcare programs or equivalent foreign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or pursue our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do not own or expect to own any issued patents relating to the radioactive payload,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 used in our product candidates, including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Ac]Ac-AKY-1189 and [</w:t>
      </w:r>
      <w:r>
        <w:rPr>
          <w:rFonts w:ascii="Times New Roman" w:cs="Times New Roman" w:eastAsia="Times New Roman" w:hAnsi="Times New Roman"/>
          <w:sz w:val="24"/>
          <w:szCs w:val="24"/>
          <w:b w:val="1"/>
          <w:bCs w:val="1"/>
          <w:i w:val="1"/>
          <w:iCs w:val="1"/>
          <w:color w:val="auto"/>
          <w:vertAlign w:val="superscript"/>
        </w:rPr>
        <w:t>225</w:t>
      </w:r>
      <w:r>
        <w:rPr>
          <w:rFonts w:ascii="Times New Roman" w:cs="Times New Roman" w:eastAsia="Times New Roman" w:hAnsi="Times New Roman"/>
          <w:sz w:val="18"/>
          <w:szCs w:val="18"/>
          <w:b w:val="1"/>
          <w:bCs w:val="1"/>
          <w:i w:val="1"/>
          <w:iCs w:val="1"/>
          <w:color w:val="auto"/>
        </w:rPr>
        <w:t>Ac]Ac-AKY-2519.</w:t>
      </w:r>
    </w:p>
    <w:p>
      <w:pPr>
        <w:spacing w:after="0" w:line="21"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color w:val="auto"/>
        </w:rPr>
        <w:t xml:space="preserve">We do not own or license, and do not expect to own or license, any patents or patent applications that cover the radioactive payload,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in our product candidates. Composition-of-matter patent claims in pharmaceutical products are generally considered to be the favored form of intellectual property protection for products because such patents may provide protection without regard to any particular method of use or manufacture or formulation of the composition of matter used. For example, formulation and method-of-use patent claims do not prevent a competitor or other third party from marketing an identical radioactive payload for an indication that is outside the scope of the method claims or from developing a different formulation that is outside the scope of the formulation claims.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6" w:name="page77"/>
    <w:bookmarkEnd w:id="76"/>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With respect to AKY-1189, as of March 1, 2026, we own one patent family, including one pending Patent Cooperation Treaty, or PCT, Application, one issued U.S. patent, one pending U.S. non-provisional application, and two pending ex-US non-provisional patent applications directed to composition of matter of AKY-1189 and methods of use. With respect to AKY-2519, as of March 1, 2026, we own one patent family, including one pending PCT Application, one pending U.S. non-provisional application, and two pending ex-U.S. non-provisional patent applications directed to composition of matter of AKY-2519 and methods of use. We cannot predict whether our patent applications will result in the issuance of any patents that provide us with any competitive advantage. We have one issued patent relating to our product candidates, in particular, AKY-1189, and do not currently have any issued patents relating to AKY-2519. It is also possible that others will design around any future patents we may obtain. Further, any future patents we obtain may not be sufficiently broad to prevent others from using our technology or from developing competing products and technologies. In addition, any future patents we obtain may be narrowed or found to be invalid or unenforceable.</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patent that issues from national stage entries of the aforementioned pending PCT application or either of the two foreign patent applications and any future non-provisional patent applications that we may file claiming priority to these patent applications are expected to expire in 2044, excluding any patent term adjustments and extensions that may be available. We cannot be certain that we will obtain issued patents based on our current and future patent applications, and if obtained, whether they can provide meaningful protection for our product candidates or any future product candidates or whether they will remain in force through their expected expiration date. If we do not obtain and maintain meaningful patent coverage for our product candidates, their respective components, formulations, combination therapies, methods of manufacture, and methods of treatment, competitors may be able to erode or negate any competitive advantage we may have, which would likely harm our business and ability to achieve profitability. Any of the foregoing events could have a material adverse effect on our business, financial condition,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obtain, maintain, enforce, defend and protect our intellectual property and our proprietary technologies, and conduct our business without infringing, misappropriating or otherwise violating intellectual property or proprietary rights of others.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maintain, enforce, defend and protect our intellectual property rights, including patent protection and trade secret protection for our product candidates, proprietary technologies and their uses as well as our ability to operate without infringing upon, misappropriating or otherwise violating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patent applications or other intellectual property or proprietary rights from third parties. If we or our current or future licensors are unable to obtain or maintain patent protection with respect to our product candidates and other proprietary technologies we may develop, it could have a material adverse effect on our business, financial condition, results of operations and prospects.</w:t>
      </w:r>
    </w:p>
    <w:p>
      <w:pPr>
        <w:spacing w:after="0" w:line="84"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Our owned and in-licensed patent portfolio is at an early stage. We currently own one issued patent relating to one of our product candidates,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We do not currently own or in-license any other issued patents relating to any product candidates,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otherwise. There can be no assurance that our patent applications or the patent applications of our current or future licensors will result in patents being issued or that issued patents will afford sufficient protection against competitors or other third parties with similar technology, nor can there be any assurance that the patents issued will not be infringed, designed around or invalidated by third parties.</w:t>
      </w:r>
    </w:p>
    <w:p>
      <w:pPr>
        <w:spacing w:after="0" w:line="9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in the United States and abroad.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 candidates could have a material adverse effect on our business, financial condition, results of operations and prospects.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June 1, 2023, European applications have the option, upon grant of a patent, of becoming a Unitary Patent which will be subject to the jurisdiction of the Unitary Patent Court, or UPC. This is a significant change in European patent practice. As the UPC is a new court system, there is no precedent for the court, increasing the uncertainty of any litigation.</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our pending international patent applications and any patent applications that we may file in the future in the United States or foreign territories, or those of our current or future licensors, will be considered patentable by the United States Patent and Trademark Office, or USPTO, courts in the United States or by the patent offices and courts in foreign countries, nor can we be certain that the claims in our future issued patents will not be found invalid or unenforceable if challenged. Even if they are unchallenged, our owned and licensed patent applications, and any patents we obtain, may not provide us with any meaningful protection or prevent competitors from designing around our patent claims to circumvent our owned or licensed patents by developing similar or alternative technologies in a non-infringing manner. If the patent protection provided by the patent applications we own or license and any patents we obtain is not sufficiently broad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impede such competition, our ability to successfully commercialize our product candidates could be negatively affected, which could have a material adverse effect on our business, financial condition, results of operations and prospects.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maintaining, enforcing, protecting and defending patents. These risks and uncertainties include the following:</w:t>
      </w:r>
    </w:p>
    <w:p>
      <w:pPr>
        <w:spacing w:after="0" w:line="68" w:lineRule="exact"/>
        <w:rPr>
          <w:sz w:val="20"/>
          <w:szCs w:val="20"/>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many of whom have substantially greater resources than we do and many of whom have made significant investments in competing technologies, may seek or may have already obtained patents or other intellectual property rights that will limit, interfere with or eliminate our ability to make, use and sell our product candidates;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any current or future licensors may not be able to file, prosecute, maintain, enforce, protect, defend or license all necessary or desirable patent applications at a reasonable cost or in a timely manner or in all jurisdictions where protection may be commercially advantageous. We may not be able to obtain or maintain patent applications and patents due to the subject matter claimed in such patent applications and patents being in disclosures in the public domain. It is also possible that we or any current or future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obtain or maintain valid and enforceable patent protection. Furthermore, publications of discoveries in the scientific literature often lag behind the actual discoveries, and patent applications in the United States and other jurisdictions are typically not published until 18 months after filing or until issuance,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Any of the foregoing events could have a material adverse effect on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current or future licensors may not result in patents being issued which protect our product candidates and other proprietary technologies we may develop, or which effectively prevent others from commercializing competitive technologies and product candidates.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corresponding patent is issued, and its scope can be reinterpreted after issuance. Even if patent applications we own or in-license issue as patents in the future, they may not issue in a form that will provide us with any meaningful protection, prevent competitors or other third parties from competing with us, or otherwise provide us with any competitive advantage. Any patents that we in the future own, or in-license,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may be challenged or circumvented by third parties or may be narrowed or invalidated as a result of challenges by third parties. Consequently, we do not know whether our product candidates or other proprietary technology will be protectable or remain protected by valid and enforceable patents. Even if a patent issues, our competitors or other third parties may be able to circumvent our patents or the patents of our current or future licensors by developing similar or alternative technologies or products in a non-infringing manner which could materially adversely affect our business, financial condition, results of operations and prospects.</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if issued, or the patents of our current or future licensors may be challenged in the courts or patent offices in the United States and abroad. We or any of our licensors may be subject to a third-party pre-issuance submission of prior art to the USPTO, or become involved in opposition, derivation, revocation, reexamination, post-grant review, or PGR, and inter partes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misappropriating or otherwise violating third-party patent rights. Moreover, our future patents or the patents of our current or future licensors may become subject to post-grant challenge proceedings, such as oppositions in a foreign patent office, that challenge our priority of invention or other features of patentability with respect to our patents, if issued, and patent applications or those of our current or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if issued, and patent applications or those of our current or future licensors is threatened, regardless of the outcome, it could dissuade companies from collaborating with us to license, develop or commercialize current or future product candidates.</w:t>
      </w:r>
    </w:p>
    <w:p>
      <w:pPr>
        <w:spacing w:after="0" w:line="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Moreover, some of our patent applications and future patents are, and may in the future be, co-owned with third parties. If we are unable to obtain an exclusive license to any such third-party co-owners’ interest in such patents and patent applications, such co-owners may be able to license their rights to other third parties, including our competitors, and our competitors could market competing products and technology. In addition, we may need the cooperation of any such co-owners of such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and protect our intellectual property rights throughout the world.</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maintaining, enforcing, protecting and defending patent rights and other proprietary rights on all of our research programs and product candidates in all countries throughout the world would be prohibitively expensive, and our intellectual property rights in some countries outside the United States can be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or other third parties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and our licensors’ patent applications, if issued, or other intellectual property rights may not be effective or sufficient to prevent them from competing.</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trade secrets and other intellectual property protection, particularly those relating to pharmaceuticals and biotechnology products, which could make it difficult for us to stop the infringement of our patents, if issued, or marketing of competing products in violation of our intellectual property and proprietary rights. In addition, some jurisdictions, such as the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Proceedings to enforce our or our licensors’ intellectual property and proprietary rights in the United States and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Various countries have compulsory licensing laws under which a patent owner may be compelled to grant licenses to third parties. In addition, many countries limit the enforceability of patents against government agencies or government contractors. As a result, a patent owner in these countries may have limited remedies in certain circumstances, which could materially diminish the value of such patent. If we or any of our licensors are forced to grant a license to third parties with respect to any patent rights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future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any future patents or patent applications in Russia, resulting in partial or complete loss of patent rights in Russia.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 consuming, expensive, and unpredictable. Any of the foregoing events could have a material adverse effect on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maintaining, enforcing, protecting and defending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patent applications will be due to be paid to the USPTO and various foreign patent agencies at various stages over the lifetime of our owned or licensed patent rights. We have systems in place to remind us to pay these fees, and we rely on our outside counsel and its outside patent annuity service to pay these fees when due. In addition, the USPTO and various foreign governmental patent agencies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We seek to employ reputable law firms and other professionals to help us comply with these provisions.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including as a result of failure to respond to official actions within prescribed time limits, non-payment of fees and failure to properly legalize and submit formal documents. In such an event, potential competitors might be able to enter the market. Our ability to comply with the various procedural, documentary, fee payment and other requirements imposed by regulations and governmental patent agencies could also be reduced or eliminated in the event of natural disasters, pandemics, or other catastrophic events. If such an event were to occur, including with respect to the patent rights covering our research programs and product candidates, as well as their respective methods of use, manufacture, and formulations thereof, it could have a material adverse effect on our business, financial condition, results of operations and prospects, as for example, competitors might be able to enter the market earlier than would otherwise have been the case.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application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or licensed patent portfolio may not provide us with sufficient rights to exclude others from commercializing products similar or identical to ours, which would have a material adverse effect on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and other proprietary rights, particularly patents. Obtaining, maintaining, enforcing, defending and protecting intellectual property and other proprietary rights, including patent rights in the biotechnology and pharmaceutical industries involve a high degree of technological and legal complexity. Therefore, obtaining, maintaining, enforcing, defending and protecting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biologics and pharmaceuticals are particularly uncertain. For example, the U.S. Supreme Court has ruled on several patent cases in recent years, either narrowing the scope of patent protection available in certain circumstances or weakening the rights of patent owners in certain situations. In addition to increasing uncertainty regarding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patents or to enforce the patents we might obtain or license in the future. Any of the foregoing could have a material adverse effect on our owned and in-licensed patent portfolio and our ability to protect and enforce our intellectual property in the future, which could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or those of our current or future licensors and the enforcement or defense of our future issued patents or those of our current or future licensors.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after filing or until issuance, we may not be certain that we or our current or future licensors are the first to either (i) file any patent application related to our product candidates or (ii) invent any of the inventions claimed in the patents or patent applications.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several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or future licensors and the enforcement or defense of our future issued patents or those of our current or future licensors, all of which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of our product candidates, one or more patents issued from U.S. patent applications that we file or those of our current or future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However, we may not be granted an extension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 In addition, to the extent we wish to pursue patent term extension based on a patent that we in-license from a third party, we would need the cooperation of that third party.</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foreign equivalent, or the term of any such extension is less than we request, our competitors or other third parties may obtain approval of competing products following our patent expiration, and our revenue could be reduced, possibly materially. Further, if this occurs, our competitors or other third parties may take advantage of our investment in development and trials by referencing our clinical and preclinical data and launch their product earlier than might otherwise be the case. Any of the foregoing could materially harm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license technology from third parties that may be subject to retained rights, including certain intellectual property discovered through government funded programs that is subject to federal regulations such as “march-in” rights, certain reporting requirements and a preference for U.S.-based companies.</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Certain of our current licensors, and certain of 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currently collaborate, and our current and future licensors may also collaborate, with academic institutions to accelerate our research or development. We may acquire or license in the future intellectual property rights that have been generated with U.S. government funding or grants. If the U.S. government exercises its march-in rights in our existing or future intellectual property rights that are generated with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line="282" w:lineRule="auto"/>
        <w:rPr>
          <w:sz w:val="20"/>
          <w:szCs w:val="20"/>
          <w:color w:val="auto"/>
        </w:rPr>
      </w:pPr>
      <w:r>
        <w:rPr>
          <w:rFonts w:ascii="Times New Roman" w:cs="Times New Roman" w:eastAsia="Times New Roman" w:hAnsi="Times New Roman"/>
          <w:sz w:val="18"/>
          <w:szCs w:val="18"/>
          <w:color w:val="auto"/>
        </w:rPr>
        <w:t>contract with non-U.S. drug manufacturers for drugs covered by such intellectual property. Any of the foregoing could have a material adverse effect on our competitive position,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or utilize similar technology but that are not covered by the claims of the patent applications that we own or license or any patents we may obtain in the future;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any such current or future pending patent applications that we own or license or any patents we may obtain in the future;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current or future pending patent applications we own or license now or in the future will not lead to issued patents;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license in the future may be held invalid or unenforceable, including as a result of legal challenges by our competitors or other third parties, or may not provide us with any competitive advantages;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now or in the future on a nonexclusive basis;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or other intellectual property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pending or future patent applications of others, if issued, or other intellectual property rights, may have an adverse effect on our business;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Should any of these events occur, it could have a material adverse effect on our business, financial condition, results of operations and prospects.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and our licensors’ pending patent applications will issue or that patents based on our or our licensors’ patent applications will not be challenged and rendered invalid and/or unenforceable.</w:t>
      </w:r>
    </w:p>
    <w:p>
      <w:pPr>
        <w:spacing w:after="0" w:line="5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have pending provisional patent applications in the United States and pending patent applications under the PCT and in foreign countries in our portfolio relating to our research programs and product candidates. However, we cannot predict:</w:t>
      </w:r>
    </w:p>
    <w:p>
      <w:pPr>
        <w:spacing w:after="0" w:line="54"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or our licensors’ patent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or our licensors’ patent applications will provide protection against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challenge, narrow, invalidate or circumvent our or our licensors’ patent rights;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or our licensors’ patents, if issued, and patent applications;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or our licensors will need to initiate litigation or administrative proceedings to enforce and/or defend our patent rights which will be costly whether we win or lose; and/or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 candidates or uses thereof.</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cannot be certain that the claims in our current or future patent applications directed to our product candidates, as well as technologies relating to our research programs,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industries, including the fields of targeted radiopharmaceuticals, are intense, fast-moving and highly competitive. There may be prior art of which we are not aware that may affect the patentability of our patent claims or, if issued, affect the validity or enforceability of a patent claim relevant to our business. There is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Even if the patents do issue based on our or our licensors’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or our licensors’ future issued patents will be considered valid by courts in the United States or foreign countries. Any of the foregoing could have a material adverse effect on our business, financial condition, results of operations and prospects.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any patents we obtain in the future or our future licensors’ patents, which could be expensive, time consuming and unsuccessful. Further, any future issued patents we obtain or our current or future licensors’ patents could be found invalid or unenforceable if challenged in court.</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our intellectual property rights. To prevent such infringement or unauthorized use, we may be required to file infringement and other claims, which can be expensive and time-consuming. In addition, in a patent infringement proceeding, a court may decide that a patent we own or in-license is not valid, is unenforceable or is not infringed. If we or any of our current or potential future collaborators were to initiate legal proceedings against a third party to enforce a patent directed at one of our product candidates, the defendant could counterclaim that such patent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or unenforceability is unpredictable. With respect to the validity question, for example, we cannot be certain that there is no invalidating prior art, of which we, our current or future licensors, and the patent examiners are unaware during prosecution. There is also no assurance that there is not prior art of which we are aware, but which we do not believe affects the validity or enforceability of a claim in our or our licensors’ patent applications or any patents or patent applications we may obtain or license in the future,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 Even if we establish infringement, the court may decide not to grant an injunction against further infringing activity and instead award only monetary damages, which may or may not be an adequate remedy.</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future patents or patent applications or those of our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or at all.</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patent applications or the patents and patent applications we may obtain or in-license in the future is threatened, it could dissuade companies from collaborating with us to license, develop or commercialize current or future product candidates.</w:t>
      </w:r>
    </w:p>
    <w:p>
      <w:pPr>
        <w:spacing w:after="0" w:line="6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rulings, motions and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any one of our future issued patents or other intellectual property rights, the risk-adjusted cost of bringing and enforcing such an infringement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of the foregoing could have a material adverse effect on our business, financial condition, results of operations and prospects.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misappropriating or otherwise violating the intellectual property and other proprietary rights, including patents, of third parties. Claims by third parties that we infringe, misappropriate, or otherwise violate their intellectual property or other proprietary rights, may result in liability for damages or prevent or delay our developmental and commercialization efforts.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 of the intellectual property and proprietary rights of third parties. However, our research, development and commercialization activities may be subject to claims that we infringe, misappropriate, or otherwise violate patents, trade secrets or other intellectual property rights owned or controlled by third parties. Third parties may assert infringement claims against us based on existing patents or patents that may be granted in the future, regardless of their merit. If our defenses to such claims are unsuccessful, we could be liable for damages, which could be significant. Other entities may have or obtain patents, intellectual property rights or other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and pharmaceutical industries, including patent infringement lawsuits, oppositions, reexaminations, IPR proceedings and PGR proceedings before the USPTO and/or corresponding foreign patent offices. Numerous third-party U.S. and foreign-issued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The intellectual property landscape around our radiopharmaceutical product candidates is crowded, complex, and fast-moving, and third parties may initiate legal proceedings alleging that we are infringing, misappropriating, or otherwise violating their intellectual property.</w:t>
      </w:r>
    </w:p>
    <w:p>
      <w:pPr>
        <w:spacing w:after="0" w:line="7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product candidates may be subject to claims of infringement, misappropriation or other violation of the patents or other intellectual property rights and proprietary rights of third parties. There could be certain third-party patent applications in this landscape we are unaware of that may, if issued as patents, be asserted to encompass aspects of our technology.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may be confidential for 18 months or more after filing and can be revised before issuance, there may be currently pending patent applications that may later result in issued patents that our product candidates may infringe. Furthermore, certain applications may remain confidential until a patent issues.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the manufacture, use, sale or importation of any of our product candidates infringes its patent, the patent holder may sue us even if we have licensed other patent protection for our technology. Moreover, we may face patent infringement claims from nonpracticing entities that have no relevant product revenue and against whom our owned or licensed patent portfolio may therefore have no deterrent effect. Any claims of patent infringement asserted by third parties would be time consuming and could:</w:t>
      </w:r>
    </w:p>
    <w:p>
      <w:pPr>
        <w:spacing w:after="0" w:line="8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including treble damages and attorneys’ fees, if we are found to willfully infringe third-party intellectual property rights; 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 IPR or PGR proceedings. We may also choose to challenge the validity of a third party’s U.S. patent in federal court proceedings, however, to be successful,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Both USPTO and federal proceedings are expensive and may consume our time or other 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It is possible that a third 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and attorneys’ fees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or other third parties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results of operations and prospects. In addition, intellectual property litigation, regardless of its outcome, may cause negative publicity and could prohibit us from marketing or otherwise commercializing our product candidates and technology.</w:t>
      </w:r>
    </w:p>
    <w:p>
      <w:pPr>
        <w:spacing w:after="0" w:line="8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to any of the foregoing events,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any intellectual property litigation, there could be public announcements of the initiation of the litigation as well as results of hearings, rulings on motion,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or unpatentable know-how, technology and other proprietary information to maintain our competitive position. Trade secrets and know-how can be difficult to protect. Although we have taken steps to protect our trade secrets and unpatented or unpatentable know-how, including entering into confidentiality agreements with third parties, and confidential information and invention assignment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Further, we cannot guarantee that we have entered into such agreements with each party that may have or have had access to our trade secrets or proprietary technology and process.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Enforcing a claim that a party illegally disclosed or misappropriated a trade secret is difficult,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expensive, and time-consuming, and the outcome is unpredictable. In addition, some courts inside and outside the United States are less willing or unwilling to protect trade secrets.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Competitors or third parties could attempt to replicate some or all of the competitive advantages we derive from our development efforts, willfully infringe our intellectual property rights, design around our protected technology or develop their own competitive technologies that fall outside the scope of our intellectual property rights. Moreover, third parties may still lawfully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have a material adverse effect on our business, financial condition,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also rely on trade secrets, including unpatented know-how, technology, and other proprietary information, to maintain our competitive position.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or other security incident) of our trade secrets or proprietary information could enable competitors to duplicate or surpass our technological achievements, thus eroding our competitive position in our market.</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Trade secrets and unpatented know-how can be difficult to trace, protect and enforce. We require our employees to enter into written employment agreements containing provisions of confidentiality and obligations to assign to us any inventions generated in the course of their employment. We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Although we have taken steps to protect our trade secrets and unpatented know-how, we cannot provide any assurances that all such agreements have been duly executed, and any of these parties may breach the agreements and disclose our proprietary information, including our trade secrets and unpatented know-how, and we may not be able to obtain adequate remedies for such breaches.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Trade secrets may be independently developed by others in a manner that could prevent legal recourse by us. Trade secrets will over time be disseminated within the industry through independent development, the publication of journal articles and the movement of skilled personnel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 and our business, financial condition, results of operations and prospects could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consultants, or collaborators have wrongfully used or disclosed alleged confidential information or trade secrets of their former employers or claims asserting ownership of what we regard as our own intellectual property.</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Some of our employees, consultants, advisors and collaborators are currently or were previously employed at universities or other biotechnology or pharmaceutical companies, including our competitors or potential competitors. We have sought to enter into, and may in the future seek to enter into, non-disclosure and confidentiality agreements to protect the proprietary positions of third parties, such as outside scientific collaborators, CROs, CDMOs, consultants, advisors, potential partners, and other third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18"/>
          <w:szCs w:val="18"/>
          <w:color w:val="auto"/>
        </w:rPr>
        <w:t>parties. Although we try to ensure that our employees, consultants, advisors and collaborators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lead to a loss of valuable intellectual property rights or otherwise prevent or delay our developmental and commercialization efforts, which could adversely affect our business. Even if we are successful in defending against these claims, litigation could result in substantial costs and be a distraction to our management team and other employees.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we regard as ours. Moreover, even when we obtain agreements assigning intellectual property to us, the assignment of intellectual property rights may not be self-executing, or the assignment agreements may be breached, and we may be forced to bring claims against third parties to determine the ownership of what we regard as our intellectual property, or defend claims that they may bring against us. Such claims could have a material adverse effect on our business, financial condition, results of operations and prospects.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84"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collaborators, consultants or other third parties asserting an ownership right in our owned or licensed patent applications or future patents, patent applications, trade secrets or other intellectual property. For example, one of our licensors has inquired into whether they should be named as co-inventors for our pending patent applications relating to our Nectin-4 program, including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Although we do not believe that anyone from the licensor made any contributions that rise to the level of inventorship on any of the claims that we are pursuing or plan to pursue, and we have had discussions with them regarding their inquiry, we cannot guarantee the final resolution of the matter. In some instances, litigation may be necessary to defend against claims challenging inventorship or ownership of our patent rights, trade secrets or other intellectual property.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product candidates and technology, without payment to us, or could limit the duration of the patent protection covering our product candidates and proprietary technology. Such challenges may also result in our inability to develop, manufacture or commercialize our product candidates and proprietary technology without infringing third-party patent rights. In addition, if the breadth or strength of protection provided by our owned or licensed patent rights, trade secrets or other intellectual property is threatened, it could dissuade companies from collaborating with us to license, develop or commercialize current or future product candidates.</w:t>
      </w:r>
    </w:p>
    <w:p>
      <w:pPr>
        <w:spacing w:after="0" w:line="9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Any of the foregoing have a material adverse effect on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entered into and may enter into in the future license agreements with others to advance our existing or future research or allow commercialization of our existing or future product candidates. If we fail to comply with our obligations under our intellectual property licenses, if the licenses are terminated, or if disputes regarding these licenses arise, we could lose significant rights that are important to our business. These licenses may not provide exclusive rights to use such intellectual property and technology in all relevant fields of use and in all territories in which we may wish to develop or commercialize our technology and products in the future.</w:t>
      </w:r>
    </w:p>
    <w:p>
      <w:pPr>
        <w:spacing w:after="0" w:line="75"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or defense of patent rights covering the technology that we license from third parties now</w:t>
      </w: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8"/>
          <w:szCs w:val="18"/>
          <w:color w:val="auto"/>
        </w:rPr>
        <w:t>or in the future. In such an event, we cannot be certain that these patents and patent applications will be prepared, filed, prosecuted, maintained, enforced, and defended in a manner consistent with the best interests of our business or in compliance with applicable laws and regulations, or will result in valid and enforceable patents and other intellectual property rights. It is also possible that our licensors’ infringement proceedings or defense activities may be less vigorous than had we conducted them ourselves or may not be conducted in accordance with our best interest. If we or our current or future licensors fail to prosecute, maintain, enforce, and defend such patents or patent applications, or lose rights to those patents or patent applications, the rights we have licensed may be reduced or eliminated, and our right to develop and commercialize any of our product candidates that are the subject of such licensed rights could be adversely affected.</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rely on third-party consultants or collaborators or on funds from third parties such that our licensors are not the sole and exclusive owners of the patent rights we in-license. If other third parties have ownership rights to our current or future in-licensed patent rights, they may be able to license such patent rights to our competitors, and our competitors could market competing products and technology. This could have a material adverse effect on our competitive position, business, financial condition, results of operations, and prospects.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can obtain a license, it may be non-exclusive, thereby giving our competitors access to the same technologies licensed to us.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Any of the foregoing could have a material adverse effect on our competitive position, business, financial condition, results of operations, and prospects.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to or from third parties or otherwise experience disruptions to our business relationships with our current and future licensors or licensees, we could lose license rights that are important to our business.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heavily reliant upon licenses from third parties to certain patent rights and proprietary technology that are important or necessary to the development of our proprietary technology. Further development of our proprietary technology may require us to enter into additional license or collaboration agreements.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proprietary technology in the future. Additionally, 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Disputes may arise between us and our current or future licensors or licensees regarding intellectual property subject to a license agreement, including:</w:t>
      </w:r>
    </w:p>
    <w:p>
      <w:pPr>
        <w:spacing w:after="0" w:line="5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or licensee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or licensees and us and our partners;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proprietary technologies and product candidates.</w:t>
      </w:r>
    </w:p>
    <w:p>
      <w:pPr>
        <w:spacing w:after="0" w:line="7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18"/>
          <w:szCs w:val="18"/>
          <w:color w:val="auto"/>
        </w:rPr>
        <w:t>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or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Despite our best efforts, our current or future licensors or licensees might conclude that we materially breached our license agreements and might therefore terminate the license agreements, thereby removing our ability to develop and commercialize products and technology covered by these license agreements. If these licenses are terminated, or if the underlying patent rights fail to provide the intended exclusivity, competitors will have the freedom to seek regulatory approval of, and to market, products identical to ours, and we may be required to cease our development and commercialization of certain of our product candidates and proprietary technology. Any of the foregoing could have a material adverse effect on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Because our development programs may require or in the future require the use of additional intellectual property or proprietary rights held by third parties, the growth of our business may depend in part on our ability to acquire, in-license, or use these third-party intellectual property or proprietary rights. We may be unable to acquire or in-license any compositions, methods of use, processes, or other third-party intellectual property rights from third parties that we identify as necessary for our product candidates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and acquisition of third-party intellectual property rights is a competitive area, and several more established companies may pursue or are already pursuing strategies to license or acquire third-party intellectual property rights that we may consider attractive or necessary.</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expend significant time and resources to redesign our product candidates, or to develop or license replacement candidates, all of which may not be feasible on a technical or commercial basis, and we may have to abandon development of the relevant program or product candidate, any of which could have a material adverse effect on our business,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current and future trademarks and trade names, including our future registered trademarks and current or future unregistered trademarks, may be challenged, infringed, circumvented or declared generic or determined to be infringing on other marks. Moreover, our current or future trademark applications may not be allowed or may subsequently be opposed.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As a means to enforce our trademark rights and prevent infringement, we may be required to file trademark claims against third parties or initiate trademark opposition proceedings. This can be expensive and time-consuming, particularly for a company of our size. If we assert trademark infringement claims, a court may determine that the trademarks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Moreover, any name we may propose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spacing w:after="0" w:line="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choose to integrate AI into our operations, and this innovation presents risks and challenges that could affect its adoption, and therefore our business.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compromises to proprietary intellectual property and intellectual property infringement and misappropriation. Other known risks of AI currently include inaccuracy, bias, toxicity, data privacy and cybersecurity issues, and data provenance disputes.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Additionally, we expect to see increasing government and supranational regulation and ethical concerns related to AI use, which may also significantly increase the burden and cost of research, development and compliance in this area. For example, the EU’s Artificial Intelligence Act, or the AI Act,—the world’s first comprehensive AI law—entered into force on August 1, 2024 and, with some exceptions, will become effective 24 months thereafter. This legislation imposes significant obligations on providers and deployers of AI systems, and encourages providers and deployers of AI systems to account for certain ethical principles in their design, development and use of these systems.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8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collaborators or other third-party service providers may also incorporate AI tools into their own offerings, and the providers of these AI tools may not meet existing or rapidly evolving regulatory or industry standards, including with respect to intellectual property, data privacy and cybersecurity.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or otherwise adversely impact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our future product candidates for our future growth depends on retaining our key personnel and recruiting additional qualified personnel.</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scientific, and technical personnel, many of whom have been instrumental for us and have substantial experience with our radiopharmaceuticals, our discovery engine and development processes and capabilities, underlying technologies, and related product candidates. In particular, we are highly dependent on Matthew Roden, PhD, our Chief Executive Officer, Kyle D. Kuvalanka, our Chief Financial Officer, Shulamit Ron-Bigger, PhD, our Chief Operating Officer, Paul L. Feldman, PhD, our Chief Scientific Officer, Akos Czibere, MD, PhD, our Chief Medical Officer and Tyler Benedum, PhD, our Chief Technical Officer, as well as the other principal members of our management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and scientific teams. The loss of the services of any of these persons could impede the achievement of our research, development and commercialization objectives.</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 Given the fact that these are novel and emerging fields, there is an inherent scarcity of experienced personnel in these fields. As we continue developing our pipeline, we will require personnel with medical, scientific, or technical qualifications specific to each program. The loss of key managers and senior scientists could delay our research and development activities.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 The competition for qualified personnel in the biotechnology industry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8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our research and development programs, clinical operations and sales and marketing efforts depend on our ability to attract and retain highly skilled scientists, engineers, and sales professionals.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Failure to succeed in preclinical studies, clinical trials or applications for regulatory approval may make it more difficult to recruit or retain qualified personnel. Moreover,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financial condition, results of operations and prospects would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experienced rapid growth since our inception in August 2020. We expect continued growth in the number of our employees and the scope of our operations, particularly to continue our planned clinical operations, preclinical and IND-enabling studies or studies approved by comparable foreign authorities, establish regulatory, quality, and manufacturing supply chain logistics and facility operations.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 manage our anticipated future growth, we will continue to seek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5"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In addition, future growth imposes significant added responsibilities on members of management, including: identifying, recruiting, integrating, maintaining, and motivating new employees; managing our internal development efforts effectively, including the clinical and FDA, or comparable foreign regulatory authority, review process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and any current or future product candidates, while complying with our contractual obligations to third parties; and improving our operational, financial and management controls, reporting systems, and procedures.</w:t>
      </w:r>
    </w:p>
    <w:p>
      <w:pPr>
        <w:spacing w:after="0" w:line="9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on reasonable terms, or that we can find qualified replacements. In addition, if we are unable to effectively manage our outsourced activities or if the quality or accuracy of the services provided by consultants, CROs, CDMOs or CMOs is compromised for any reason, our preclinical or clinical trials may be extended, delayed, or terminated, and we may not be able to obtain regulatory approval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other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qualified employees and expanding our groups of consultants and contractors, we may experience delays or may not be able to successfully implement the tasks necessary to further develop and commercialize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 and any future product candidates we develop and, accordingly, we may not achieve our research, development, and commercialization goals.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CDMOs,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business risks, which will leave us exposed to significant uninsured liabilities.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workers’ compensation, clinical trial liability, cyber liability, and directors’ and officers’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remain, volatile and may fluctuate substantially as a result of a variety of factors, some of which are related in complex ways. The market price of our common stock may fluctuate significantly in response to numerous factors, many of which are beyond our control, including the factors listed below and other factors describe in this “Risk factors” section:</w:t>
      </w:r>
    </w:p>
    <w:p>
      <w:pPr>
        <w:spacing w:after="0" w:line="68" w:lineRule="exact"/>
        <w:rPr>
          <w:sz w:val="20"/>
          <w:szCs w:val="20"/>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pipeline, including the commencement, enrollment, or results of current and future preclinical studies and clinical trials;</w:t>
      </w:r>
    </w:p>
    <w:p>
      <w:pPr>
        <w:spacing w:after="0" w:line="60" w:lineRule="exact"/>
        <w:rPr>
          <w:rFonts w:ascii="Times New Roman" w:cs="Times New Roman" w:eastAsia="Times New Roman" w:hAnsi="Times New Roman"/>
          <w:sz w:val="18"/>
          <w:szCs w:val="18"/>
          <w:color w:val="auto"/>
        </w:rPr>
      </w:pPr>
    </w:p>
    <w:p>
      <w:pPr>
        <w:jc w:val="both"/>
        <w:ind w:left="760" w:hanging="378"/>
        <w:spacing w:after="0" w:line="24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clinical trials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the treatment of locally advanced or metastatic UC and other Nectin-4 expressing tumors or any of our future product candidates and any adverse development or perceived adverse development with respect to the applicable regulatory authority’s review of such filings, including, without limitation, the issuance by the FDA of a “refusal to file” letter or a request for additional information;</w:t>
      </w:r>
    </w:p>
    <w:p>
      <w:pPr>
        <w:spacing w:after="0" w:line="9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preclinical study or clinical trial, not to initiate a preclinical study or clinical trial or to terminate an existing preclinical study or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preclinical studies or clinical trials, manufacturing supply chain or sales and marketing activities, including failure to receive regulatory approval of our future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but not limited to, preclinical study or clinical trial requirements for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manufacturers or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shortages;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approved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any of our current or future product candidates;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technologies;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radiopharmaceuticals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new product offerings, acquisitions, strategic relationships, joint ventures,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or maintain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initial target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the equity and credit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 or principles;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global regulatory environment;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industry and market conditions, including resulting impacts of the ongoing war between Russia and Ukraine and the escalating hostilities in the Middle East;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common stock price to fall.</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The lock-up agreements entered into in connection with our initial public offering in January 2026 will expire at the close of business on July 7, 2026. J.P. Morgan Securities LLC, BofA Securities, Inc., Leerink Partners LLC and TD Securities (USA) LLC, in their sole discretion, may permit our equity holders who are subject to these lock-up agreements to sell shares prior to the expiration of the lock-up agreements. After the lock-up agreements expire, the shares of common stock will be eligible for sale in the public market. As of March 10, 2026, we had outstanding a total of 53,403,173 shares of common stock. Of these shares, 20,297,500 shares of our common stock were sold in the initial public offering, substantially all of which are freely tradable, without restriction, in the public market.</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holders of approximately 34,057,218 shares of our common stock, which includes all of the shares of common stock issuable upon the conversion of our outstanding shares of Class A common stock, or approximately 61.6% of our outstanding capital stock, have rights, subject to some conditions, to require us to file registration statements covering the sale of their shares or to include their shares in registration statements that we may file for ourselves or our other stockholders, subject to the lock-up agreements described above. Registration of these shares under the Securities Act of 1933, as amended, or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7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Class A common stock has no voting rights. As a result, all matters submitted to our stockholders will be decided by the vote of holders of our common stock. Based on the beneficial ownership of our common stock as of March 10, 2026, our executive officers, directors, holders of 5% or more of our capital stock and their respective affiliates beneficially owned approximately 56.2% of our outstanding voting stock. Therefore, these stockholders have the ability to influence us through this ownership position. These stockholders, if acting together, may be able to determine all matters requiring stockholder approval and they may have interests that differ from yours and may be adverse to your interests. For example, these stockholders may be able to control elections of directors, amendments of our organizational documents, or approval of any merger, sale of assets, or other major corporate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Nasdaq or obtain or maintain a listing of our common stock on Nasdaq.</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Since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6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In addition, if we fail to the meet the forecasts published by these analysts, the trading price of our common stock would likely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are also a “smaller reporting company,” as defined in Rule 12b-2 under the Securities Exchange Act of 1934, or the Exchange Act. For as long as we continue to be an “emerging growth company,” and a “smaller reporting company” we may choose to take advantage of exemptions from various reporting requirements applicable to other public companies but not to emerging growth companies and smaller reporting companies, including:</w:t>
      </w:r>
    </w:p>
    <w:p>
      <w:pPr>
        <w:spacing w:after="0" w:line="72" w:lineRule="exact"/>
        <w:rPr>
          <w:sz w:val="20"/>
          <w:szCs w:val="20"/>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 of 2002, as amended, or the Sarbanes-Oxley Act;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following the completion of our initial public offering in January 2026. Our status as an “emerging growth company” will end as soon as any of the following takes place:</w:t>
      </w:r>
    </w:p>
    <w:p>
      <w:pPr>
        <w:spacing w:after="0" w:line="5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$1.235 billion in annual revenue;</w:t>
      </w:r>
    </w:p>
    <w:p>
      <w:pPr>
        <w:spacing w:after="0" w:line="117" w:lineRule="exact"/>
        <w:rPr>
          <w:rFonts w:ascii="Times New Roman" w:cs="Times New Roman" w:eastAsia="Times New Roman" w:hAnsi="Times New Roman"/>
          <w:sz w:val="18"/>
          <w:szCs w:val="18"/>
          <w:color w:val="auto"/>
        </w:rPr>
      </w:pPr>
    </w:p>
    <w:p>
      <w:pPr>
        <w:ind w:left="5540" w:right="2060" w:hanging="5158"/>
        <w:spacing w:after="0" w:line="282" w:lineRule="auto"/>
        <w:tabs>
          <w:tab w:leader="none" w:pos="7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completion of our initial public offering.</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our periodic reports and proxy statements. In addition, if we are a smaller reporting company with less than $100.0 million in annual revenue, we would not be required to comply with the auditor attestation requirements of Section 404 of the Sarbanes-Oxley Act. We would cease to be a smaller reporting company if the market value of our common stock that is held by non-affiliates exceeds $250.0 million and we had annual revenues in excess of $100.0 million or if the market value of our common stock that is held by non-affiliates exceeds $700.0 million, each as determined on an annual basis.</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because we rely on any of these exemptions, there may be a less active trading market for our common stock and the market price of our common stock may be more volatile.</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 out of the extended transition period); however, we may adopt certain new or revised accounting standards early. As a result, our consolidated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ongoing war between Russia and Ukraine and the political, economic and social instability in Venezuela.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debt or equity financing more difficult, more costly, and more dilutive. Furthermore, our stock price may decline due in part to the volatility of the stock market and the general economic downturn.</w:t>
      </w:r>
    </w:p>
    <w:p>
      <w:pPr>
        <w:spacing w:after="0" w:line="8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one or more of our future product candidates or delay our pursuit of potential in-licenses or acquisitions. In addition, there is a risk that one or more of our current service providers, manufacturers and other partners may not succeed or survive these difficult economic times, which could directly affect our ability to attain our operating goals on schedule and on budget.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6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and any appellate court therefrom is the sole and exclusive forum for the following types of claims or causes of action under Delaware statutory or common law: (i) any derivative claim or cause of action brought on our behalf; (ii) any claim or cause of action asserting a breach of a fiduciary duty owed by any current or former director, officer or other employee, to us or our stockholders; (iii) any claim or cause of action against us or any of our current or former directors, officers or other employees, arising out of or pursuant to any provisions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(v) any claim or cause of action as to which the Delaware General Corporation Law confers jurisdiction on the Court of Chancery of the State of Delaware; and (vi) any claim or cause of action against us, or any of our directors, officers or other employees, that is governed by the internal affairs doctrine, or otherwise related to our internal affairs, in all cases to the fullest extent permitted by law and subject to the court’s having personal jurisdiction over the indispensable parties named as defendants. Our amended and restated certificate of incorporation states that these choice of forum provisions do not apply to claims or causes of action brought to enforce a duty or liability created by the Securities Act, the Exchange Act, or any other claim for which the federal courts have exclusive jurisdiction. Furthermore, Section 22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are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which costs could be borne by investors, and there can be no assurance that the provisions will be enforced by a court in those other jurisdictions.</w:t>
      </w:r>
    </w:p>
    <w:p>
      <w:pPr>
        <w:spacing w:after="0" w:line="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Furthermore, if a court were to find the choice of forum provisions contained in our amended and restated certificate of incorporation to be inapplicable or unenforceable in an action, we may incur additional costs associated with resolving such action in other jurisdictions, and such costs could be borne by investors.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w:t>
      </w:r>
    </w:p>
    <w:p>
      <w:pPr>
        <w:spacing w:after="0" w:line="72" w:lineRule="exact"/>
        <w:rPr>
          <w:sz w:val="20"/>
          <w:szCs w:val="20"/>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rights, preferences and privileges as they may designate (including the right to approve an acquisition or other change in our control);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or any individual director may only be removed with cause by the affirmative vote of the holders of at least two-thirds of the voting power of all of our then outstanding capital stock entitled to vote thereon;</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our Chief Executive Officer or by the board of directors pursuant to a resolution adopted by a majority of the total number of authorized directors.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amendment of any of these provisions, with the exception of the ability of our board of directors to issue shares of preferred stock and designate any rights, preferences and privileges thereto, requires approval by the holders of at least two-thirds of our then-outstanding capital stock entitled to vote thereon, voting together as a single class.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7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our company. The existence of these provisions could negatively affect the price of our common stock and limit opportunities for you to realize value in a corporate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smaller reporting company, we will incur significant legal, accounting and other expenses that we did not incur as a private company. The Securities Act, the Exchange Act,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geopolitical tensions, including heightened risk of military conflict, political instability and escalation of hostilities in the Middle East,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pandemics and other widespread outbreaks of contagious disease, which could significantly disrupt our operations, impact our financial results or otherwise adversely impact our business.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Significant outbreaks of contagious diseases and other adverse public health developments could have a material impact on our business operations and operating results. As a result of public health crises that may arise, we may experience disruptions that could adversely impact our operations, research and development, and as we continue developing, any preclinical studies, clinical trials and manufacturing activities we may conduct, some of which may include: </w:t>
      </w:r>
    </w:p>
    <w:p>
      <w:pPr>
        <w:spacing w:after="0" w:line="7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research programs, preclinical studies, clinical trials or IND-enabling studies that we or our collaborators may conduct;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and distributing, supplies of drug substance and drug product from our CMOs, to preclinical or clinical research sites or delays or disruptions in any preclinical studies or clinical trials performed by CROs;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on our business operations by local, state or federal authorities to address a pandemic or similar public health crises;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spacing w:after="0" w:line="68" w:lineRule="exact"/>
        <w:rPr>
          <w:sz w:val="20"/>
          <w:szCs w:val="20"/>
          <w:color w:val="auto"/>
        </w:rPr>
      </w:pPr>
    </w:p>
    <w:p>
      <w:pPr>
        <w:jc w:val="both"/>
        <w:ind w:right="20" w:firstLine="374"/>
        <w:spacing w:after="0" w:line="255" w:lineRule="auto"/>
        <w:rPr>
          <w:sz w:val="20"/>
          <w:szCs w:val="20"/>
          <w:color w:val="auto"/>
        </w:rPr>
      </w:pPr>
      <w:r>
        <w:rPr>
          <w:rFonts w:ascii="Times New Roman" w:cs="Times New Roman" w:eastAsia="Times New Roman" w:hAnsi="Times New Roman"/>
          <w:sz w:val="18"/>
          <w:szCs w:val="18"/>
          <w:color w:val="auto"/>
        </w:rPr>
        <w:t>In addition, the trading prices for biopharmaceutical companies have been highly volatile as a result of the COVID-19 pandemic and we may face similar volatility in our stock price. If we or any of the third parties with whom we engage were to experience shutdowns or other business disruptions, our ability to conduct our business in the manner and on the timelines presently planned could be materially and negatively affected, which could have a material adverse impact on our business, financial condition, our results of operations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which requires management to certify financial and other information in our quarterly and annual reports and provide an annual management report on the effectiveness of internal control over financial reporting. Although we are required to disclose changes made in our internal control over financial reporting on a quarterly basis, we are not required to make our first annual assessment of our internal control over financial reporting until our annual report on Form 10-K for the year ending December 31, 2026. However, as an emerging growth company and smaller reporting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or smaller reporting company. At such time, our independent registered public accounting firm would need to issue a report that is adverse in the event that there are material weaknesses in our internal control over financial reporting.</w:t>
      </w:r>
    </w:p>
    <w:p>
      <w:pPr>
        <w:spacing w:after="0" w:line="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private company, we did not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 and 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or internal controls and procedures may not prevent or detect all errors or acts of fraud.</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Under current law, U.S. federal net operating losses, or NOLs, incurred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the federal law.</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of December 31, 2025, we had $45.8 million of U.S. federal NOLs and $40.8 million of state NOLs. Our U.S. federal NOLs can be carried forward indefinitely under current laws and the state NOLs begin to expire in 2041. Additionally, we continue to generate U.S. federal research and development, or R&amp;D, credits, which generally may be carried forward to offset a portion of future tax liabilities, if any, subject to expiration of such credit carryforwards. Our NOL carryforwards and R&amp;D credits are subject to review and possible adjustment by the U.S. and state tax authorities.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9" w:name="page100"/>
    <w:bookmarkEnd w:id="99"/>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or the Code, and corresponding provisions of state law, if a corporation undergoes an “ownership change,” which is generally defined as a cumulative change (by value) in its equity ownership by “5-percent shareholders” that is greater than 50 percentage points over a rolling three-year period, the corporation’s ability to use its pre-change NOL carryforwards, R&amp;D credits and certain other pre-change tax attributes to offset its post-change income or taxes may be limited. This could limit the amount of NOLs, R&amp;D credit carryforwards or other applicable tax attributes that we can utilize annually to offset future taxable income or tax liabilities. Our recently completed initial public offering, together with private placements and other transactions that have occurred since our inception, may trigger such an ownership change. Subsequent ownership changes, some of which may be outside our control, and changes to the U.S. tax rules in respect of the utilization of NOLs, R&amp;D credits and other applicable tax attributes carried forward may further affect the limitation in future years. We have not conducted any studies to determine annual limitations, if any, that could result from such ownership changes.</w:t>
      </w:r>
    </w:p>
    <w:p>
      <w:pPr>
        <w:spacing w:after="0" w:line="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the Coronavirus Aid, Relief, and Economic Security Act, and the IRA have all made many significant changes to the U.S. tax laws. Future guidance from the Internal Revenue Service and other tax authorities with respect to such legislation may affect us, and certain aspects of such legislation could be repealed or modified in future legislation. It is also possible that future legislation could have an adverse effect on our operations, cash flows and results of operations and contribute to overall market volatility. In addition, it is uncertain if and to what extent various states will conform to recent or newly enacted federal tax legislation.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Our internal computer systems, or those of our third-party CROs, manufacturers, contractors or consultants, or current or future collaborators or other third parties, may fail or suffer security breaches or other unauthorized or improper access, which could result in a material disruption of our development programs or other adverse consequences.</w:t>
      </w:r>
    </w:p>
    <w:p>
      <w:pPr>
        <w:spacing w:after="0" w:line="7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handle, share, use, retain, safeguard, transmit, analyze and otherwise process large amounts of data, including, without limitation, proprietary business information, intellectual property, health information, personal information and other confidential information, or collectively, confidential information. We have also outsourced elements of our operations to third parties, and as a result we manage a number of CROs, manufacturers, third-party vendors and other contractors, consultants and collaborators who have access to such information. It is critical that we and these third parties process such confidential information in a manner to maintain the confidentiality and integrity of such information.</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and complexity of our internal information technology systems and those of our current and future CROs, manufacturers, third-party vendors and other contractors, consultants and collaborators, and the increasing amounts of confidential information that we and such parties maintain, such internal information technology systems are potentially vulnerable to breakdown or other damage, interruption or incident, including from service interruptions, system failures or malfunctions, information security threats, such as data breaches, damage from computer viruses, cyberattacks (such as the deployment of malware, denial-of-service attacks, ransomware attacks, supply chain attacks, and phishing and other social engineering attacks), unauthorized access, intentional or accidental actions or inaction by our employees, third-party vendors, contractors, consultants, business partners or other third parties that introduce vulnerabilities, natural disasters, terrorism, war, telecommunication and electrical failures and other compromises or disruptions.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failures, accidents, security breaches, intrusions or other incidents to date, if such an event were to occur, or be perceived to occur, and cause interruptions in our operations or result in any inadvertent or unauthorized disclosure of or access to personal information, protected health information, or other sensitive, confidential or proprietary information, it could compel us to comply with breach notification laws, subject us to mandatory remedial action or otherwise result in a material disruption of our programs and/or material liability and reputation harm. For example, the loss of data from preclinical studies or clinical trials could result in delays in our regulatory approval efforts and significantly increase our costs to recover or reproduce the data. Undetected security breaches of our information technology systems could result in the theft of our proprietary chemical structures and fraudulent filing of patent claims by competitors that could limit our freedom to operate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spacing w:after="0" w:line="235" w:lineRule="auto"/>
        <w:rPr>
          <w:sz w:val="20"/>
          <w:szCs w:val="20"/>
          <w:color w:val="auto"/>
        </w:rPr>
      </w:pPr>
      <w:r>
        <w:rPr>
          <w:rFonts w:ascii="Times New Roman" w:cs="Times New Roman" w:eastAsia="Times New Roman" w:hAnsi="Times New Roman"/>
          <w:sz w:val="18"/>
          <w:szCs w:val="18"/>
          <w:color w:val="auto"/>
        </w:rPr>
        <w:t>the future. To the extent that any disruption, security breach or other incident results in a loss of or damage to our data or applications, other data or applications relating to our technology,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other current or future product candidates, or those of our third-party vendors and other contractors and consultants, or inappropriate disclosure of confidential or proprietary information, we could incur liabilities and the further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or other current or future product candidates could be compromised or delayed. Any of the foregoing could result in significant legal and financial exposure and reputational damage that could potentially have a material adverse effect on our business, financial condition, results of operations, and prospects. 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9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service providers operate to collect, store, handle, share, use, retain, safeguard, transmit, analyze and otherwise process electronic information in our day-to-day operations. In connection with our discovery efforts, we may collect, store, handle, use or otherwise process a variety of personal information and data, such as name, mailing address, email addresses, phone number and clinical trial information. A successful cyberattack could result in the theft or destruction of intellectual property, data (such as personal information)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computer hackers, hostile foreign governments or agencies, industrial espionage, cyber criminals, organized crime affiliates, terrorist organizations, wire fraud and other forms of cyber fraud, the deployment of harmful malware, denial-of-service, social engineering fraud, ransomware, loss of data or other information technology assets, adware, telecommunications failures, earthquakes, fires, floods, and other similar threats or other means to threaten data security, confidentiality, integrity and availability. We may not be able to anticipate all types of security threats, and we may not be able to implement preventive measures effective against all such security threats. A successful cyberattack could cause serious negative consequences for us, including, without limitation, the disruption of operations, the misappropriation of confidential business information, including financial information and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GDPR or the UK GDPR) and may cause a material adverse impact to our reputation, affect our ability to use collected data, conduct new studies and potentially disrupt our business.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Extortion payments may alleviate the negative impact of a ransomware attack, but we may be unwilling or unable to make such payments due to, for example, applicable laws or regulations prohibiting such payments.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confidential information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breach or other interruption, including as described above, we could experience adverse consequences. Although we may have contractual protections with our service providers, any actual or perceived security breach or other incident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cybersecurity obligations may require us to implement and maintain specific security measures or industry-standard or reasonable security measures to protect our information technology systems and confidential information. While we have implemented security measures designed to protect against security incidents, there can be no assurance that these measures have been or will be effective.</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rely on our CROs, manufacturers, contractors, consultants, collaborators and other third-party providers to implement effective security measures and identify and correct for any such failures, deficiencies, breaches or other incidents. We also rely on our employees and consultants to safeguard their security credentials and follow our policies and procedures regarding use, access and protection of computers and other devices that may contain our confidential information. There can be no assurances that these measures have been or will be effective.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or other security incidents described above which could result in losses described above, as well as disputes with physicians, patients and our partners, regulatory sanctions or penalties, increases in operating expenses, lost revenue or other adverse consequences. Any failure by such third parties to prevent or mitigate security breaches or improper access to or other unauthorized disclosure of such information could have similarly adverse consequences for us. If we are unable to prevent or mitigate the impact of such security or data privacy breaches or other incidents, we could be exposed to litigation and governmental investigations, which could lead to a potential disruption to our business.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cybersecurity obligations and related practices. We cannot be sure that our insurance coverage will be adequate or sufficient to protect us from or to mitigate liabilities arising out of our privacy and cybersecurity practices, or any event that affects our systems or third-party systems where information important to our business operations or commercial development is stored or otherwise processed, that such coverage will continue to be available on commercially reasonable terms or at all, or that such coverage will pay future claims. Further, our insurance may not cover all claims made against us and could have high deductibles in any event, and defending a suit, regardless of its merit, could be costly and divert management attention.</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infer or otherwise obtain confidential information about us from public sources, data brokers, or other means that reveals competitively sensitive details about our organization and could be used to undermine our competitive advantage or market position. Any of the foregoing could have a material adverse effect on our business, financial condition, results of operations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developed and maintain an information security program designed to assess, identify, and manage risks from cybersecurity threats. As part of this program, we conduct periodic assessments of our assets to evaluate the effectiveness of applicable security controls. These assessments are informed by industry standard frameworks and include a review of our information security controls to assess cybersecurity maturity compared to our peers and other security awareness trainings.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engage security technology vendors to assist with detecting potential threats to our information assets. In addition, we have implemented a cybersecurity third party risk management process to assess mission and business critical third parties for cyber risks and to assist the business in making risk-informed technology product and services decisions. Our practice is to perform due diligence, including the completion of security questionnaires and risk assessments, as appropriate, on third parties who maintain material data or information to help us evaluate and verify third party information security capabilities.</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process designed to detect and respond to cybersecurity incidents that may represent a threat to the confidentiality, integrity or availability of our information assets is based on industry standards and best practices of peer companies. Our technology, procedures and key vendors with security responsibilities are designed to help contain, eradicate and recover from cybersecurity incidents in a timely manner. Senior management is informed about incidents that may have a significant impact on the business. Incidents are reviewed once they are resolved, and policies and controls are updated to help mitigate gaps.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There can be no assurance, however, that our cybersecurity risk management program and processes, including our policies, controls or procedures, will be fully implemented, complied with or effective in protecting our systems and information. For more information, see Part I, Item 1A “Risk Factors—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Our internal computer systems, or those of our third-party CROs, manufacturers, contractors or consultants, or current or future collaborators or other third parties, may fail or suffer security breaches or other unauthorized or improper access, which could result in a material disruption of our development programs or other adverse consequences."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in coordination with the audit committee, oversees our cybersecurity risk management. On a regular basis, the audit committee discusses our cybersecurity risk management program with our Chief Operating Officer and other members of senior management. The audit committee receives regular reports from the Chief Operating Officer regarding cybersecurity and information technology matters, including recent developments, evolving standards, vulnerability assessments, third-party and independent reviews, the threat environment, technology trends, and information security considerations relating to our peers and third parties. The full board of directors receives reports from the audit committee on its cybersecurity risk management activities, as well as updates from management regarding the Company’s cybersecurity program.</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management team, led by our Chief Operating Officer, has primary responsibility for developing and managing our overall cybersecurity risk management program. The Chief Operating Officer oversees our internal information technology functions and supervises third-party cybersecurity vendors and consultants.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Chief Operating Officer works collaboratively across the Company to implement and maintain a program designed to protect our information systems from cybersecurity threats and to respond promptly to cybersecurity incidents in accordance with our incident response and recovery plans. Cross-functional teams throughout the Company support these efforts by addressing cybersecurity risks and responding to incidents as they arise. Through ongoing communication with these teams and our third-party service providers, the Chief Operating Officer monitors the prevention, detection, escalation, mitigation, and remediation of cybersecurity threats and incidents and reports significant matters to the audit committee, as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principal facilities consist of office and laboratory space. Our corporate headquarters is located in Boston, Massachusetts, where we lease and occupy approximately 17,944 square feet of such laboratory and office space at 17 Drydock Avenue, Suite 17-401, Boston, Massachusetts 02210. The current term of our lease expires in January 2033. We also lease an aggregate of 12,089 square feet of laboratory and office space in two facilities in Durham, North Carolina, under leases that expire in April 2027 and September 2026. We sublease approximately 1,332 square feet of such laboratory and office space.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these facilities are adequate for the foreseeable future and that suitable additional space will be available as and when needed.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are not currently subject to any material legal or arbitration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under the symbol "AKTS" on January 9, 2026.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March 10, 2026, there were approximately 69 stockholders of record of shares of our common stock and 4 holders of shares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Between January 1, 2025 and December 31, 2025, we issued to certain of our employees and directors options to purchase an aggregate of 784,343 shares of our common stock at a weighted average exercise price of $10.59 per share under our 2020 Equity Incentive Plan, or the 2020 Plan. On January 8, 2026, we issued to certain of our employees and directors options to purchase an aggregate of 1,720,277 shares of our common stock at an exercise price per share equal to $18.00 under our 2026 Equity Incentive Plan, or the 2026 Plan. The offers, sales and issuances of the securities described in this paragraph were deemed to be exempt from registration either under Rule 701 promulgated under the Securities Act, or Rule 701, in that the transactions were under compensatory benefit plans and contracts relating to compensation. The recipients of such securities were our employees, directors or consultants and received the securities under the 2020 Plan or the 2026 Plan, as applicable. Appropriate legends were affixed to the securities issued in these transactions. Each of the recipients of securities in these transactions had adequate access, through employment, business or other relationships, to information about our company. We filed a registration statement on Form S-8 (File No. 333-292679) under the Securities Act on January 12, 2026 to register all of the shares of our common stock subject to outstanding options and all shares of our common stock otherwise issuable pursuant to the 2020 Plan and 2026 Plan.</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January 12, 2026, immediately prior to the closing of our initial public offering, or the IPO, all of our outstanding shares of convertible preferred stock automatically converted into 34,057,218 shares of our common stock and 1,872,829 shares of our Class A common stock. The issuance of such common stock and Class A common stock upon conversion of the convertible preferred stock was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our equity compensation plans is incorporated herein by reference to Part III, Item 12 of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January 8, 2026, the SEC declared effective our registration statement on Form S-1 (File No. 333-292283), as amended, or the Registration Statement, filed in connection with our IPO. Pursuant to the Registration Statement, we registered the offer and sale of 20,297,500 shares of our common stock with a maximum aggregate offering price of approximately $365.4 million. J.P. Morgan Securities LLC, BofA Securities, Inc., Leerink Partners LLC and TD Securities (USA) LLC acted as representatives of the underwriters for the IPO. We received net proceeds of $335.3 million from the sale of 20,297,500 share of common stock at a price of $18.00 per share, which included 2,647,500 shares of common stock sold pursuant to the underwriters' full exercise of their option to purchase additional shares, after deducting offering costs payable by us of $4.5 million. None of the expenses associated with the IPO were paid to directors, officers, persons owning 10% or more of any class of equity securities, or to our affiliates.</w:t>
      </w:r>
    </w:p>
    <w:p>
      <w:pPr>
        <w:spacing w:after="0" w:line="8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pursuant to Rule 424(b) of the Securities Act on January 9, 2026. We are holding a significant portion of the balance of the net proceeds in money market funds.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right"/>
        <w:ind w:right="8719"/>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right"/>
        <w:ind w:right="865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See “Special Note Regarding Forward-Looking Statements.” As a result of many factors, including those factors set forth in the "Risk Factors" section of this Annual Report and "Cautionary Note Regarding Forward-Looking Statements", our actual results could differ materially from the results described in or implied by the forward-looking statements contained in the following discussion and analysis.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 clinical-stage oncology company focused on expanding the breakthrough potential of targeted radiopharmaceuticals to large patient populations, including those not addressed by existing platform technologies. The field of targeted radiopharmaceuticals is currently led by two marketed products that illustrated transformative survival outcomes and quality of life benefits can be conferred by delivering radioisotopes to solid tumors. These leading products, which target prostate specific membrane antigen or somatostatin-2 receptor, are each currently approved in only one tumor type, but in those indications, have seen considerable commercial uptake and have become fundamental pillars of cancer treatment. Despite these advances, we believe that the field of radiopharmaceuticals is still in its infancy, with many emerging companies still primarily focused on these same two targets. In contrast, we see a significant opportunity to broaden the cancer patient populations benefiting from targeted radiopharmaceuticals by developing next-generation technologies that expand the scope of tumor targets for which it is possible to safely deliver a powerful payload of an alpha-emitting radioisotope. To ensure patient demand is reliably met, we are also establishing efficient end-to-end supply, with a combination of critical internal capabilities paired with experienced external vendors. Through these efforts, we seek to maximize clinical utility across multiple indications in multiple tumor types, and to expand the commercial uptake of radiopharmaceuticals beyond the traditional nuclear medicine setting and into the more expansive clinical oncology setting.</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Since our inception in August 2020, we have devoted substantially all of our resources to developing our miniprotein radioconjugate platform, identifying and developing our product candidates and programs, establishing and protecting our intellectual property, conducting research and development activities, building our supply chain and manufacturing capabilities, organizing and staffing our company, raising capital and providing general and administrative support for these operations. We do not have any products approved for commercial sale and have not generated any revenues from product sales. We have funded our operations primarily with proceeds from the issuance and sale of our redeemable convertible preferred stock and upfront payments from a Research and Collaboration Agreement, the Collaboration Agreement, with Eli Lilly and Company, or Eli Lilly, and have received aggregate net proceeds of $345.5 million from the sale of our redeemable convertible preferred stock, $60.0 million in upfront payments upon entering into the Collaboration Agreement, and $1.0 million upon achieving the first development milestone under the Collaboration Agreement. In January 2026, we completed our initial public offering, or the IPO, and raised aggregate net proceeds of $335.3 million from the sale of 20,297,500 shares of common stock, which included 2,647,500 shares of common stock sold pursuant to the underwriters' full exercise of their option to purchase additional shares.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in every year since inception and we expect to continue to incur substantial losses for the foreseeable future. Our ability to generate revenue sufficient to achieve profitability will depend heavily on the successful development and eventual commercialization of one or more of our product candidates. As of December 31, 2025, we had an accumulated deficit of $156.6 million and our net losses were $63.7 million and $44.0 million for the years ended December 31, 2025 and 2024, respectively. We expect our expenses and operating losses will increase substantially as we:</w:t>
      </w:r>
    </w:p>
    <w:p>
      <w:pPr>
        <w:spacing w:after="0" w:line="82"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 through clinical trials;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to commence clinical trials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for B7-H3 expressing tumors;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IND-enabling preclinical studies for our other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miniprotein radioconjugate platform;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targeting molecules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other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third-parties to manufacture our lead product candidate;</w:t>
      </w:r>
    </w:p>
    <w:p>
      <w:pPr>
        <w:spacing w:after="0" w:line="1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scale up our supply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and other radioisotopes;</w:t>
      </w:r>
    </w:p>
    <w:p>
      <w:pPr>
        <w:spacing w:after="0" w:line="68"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manufacturing capabilities through additional in-house facilities and expertise, as well as additional third party contractors to enable global commercial scale;</w:t>
      </w: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7" w:name="page108"/>
    <w:bookmarkEnd w:id="107"/>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legal, compliance, financial, and management information systems and increase personnel, including personnel to support our preclinical and clinical development, manufacturing, and future commercialization efforts as well as to support our operations as a public company;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manufacturing sources for preclinical and clinical development of any future product candidates we may develop and commercial supply with respect to any such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pre-commercial activities to enhance commercialization prospects for any current or future product candidates that may obtain regulatory approval;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including collaborations, licenses or other strategic arrangements.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radiopharmaceutical candidates,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$226.8 million. Based upon our current operating plans, we believe that our existing cash, cash equivalents and marketable securities, together with the net proceeds of approximately $335.3 million from our IPO completed in January 2026, will be sufficient to fund our operations into 2029. We have based this estimate on assumptions that may prove to be wrong, and we could exhaust our available capital resources sooner than we expect. See the sections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may incur contingent regulatory and development milestones, commercial milestones and royalty payments that we are required to make under our license and collaboration agreements, in which the amounts to be paid by us are not fixed or determinable at this time. For a more detailed description of these agreements, see the section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and Notes 11 and 12 to our consolidated financial statements included elsewhere in this Annual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Blaze Bioscience license agreement</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22, 2021, we entered into a Discovery, License and Option Agreement, or the Blaze Agreement, as amended on March 3, 2022, May 20, 2022 and December 19, 2022, with Blaze Bioscience Inc., or Blaze, pursuant to which we granted to each other certain exclusive and non-exclusive licenses and an option to license Blaze’s platform technology to use in conducting certain research and development activities. We made a one-time non-refundable upfront payment of $1.8 million to Blaze, as partial consideration for the rights and licenses granted to us under the Blaze Agreement. We paid an additional one-time payment of $0.2 million in connection with the December 19, 2022 amendment. The Blaze Agreement required us to make specified non-refundable, non-creditable milestone payments of up to $0.7 million per collaboration target as well as royalty payments on a product-by-product basis until the later of (a) the date of expiration of the last-to-expire valid claim covering such collaboration target, or (b) ten years following the date of the first commercial sale of such collaboration target. None of the milestones had been achieved prior to termination.</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execution of the Blaze Agreement, we also issued to Blaze, warrants, or the Preferred Stock Warrants, to purchase 2,000,000 shares of partner preferred stock, or the Partner Preferred Stock, as a partial consideration for the rights granted by Blaze to us. The Preferred Stock Warrants represent an additional upfront payment and the initial fair value of the Preferred Stock Warrants was $0.6 million. See Note 11 to our consolidated financial statements included elsewhere in this Annual Report. In connection with the amendment on May 20, 2022, we replaced the original terms of the Preferred Stock Warrants with revised vesting criteria, related to the achievement of development and regulatory milestones. As of December 31, 2023, 250,000 shares of the Preferred Stock Warrants were vested.</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March 2024, we notified Blaze of our decision to terminate the Blaze Agreement and Blaze exercised the Preferred Stock Warrants for 250,000 shares of Partner Preferred Stock upon payment of nominal consideration. The remaining unvested Preferred Stock Warrants were cancelled upon the notice of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Institute for Protein Innovation, Inc. license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November 1, 2021, we entered into an exclusive license agreement, the IPI Agreement, with the Institute for Protein Innovation, Inc., or IPI, pursuant to which IPI granted us an exclusive, worldwide license, with the right to sublicense (subject to certain conditions), under certain of IPI’s patents and know-how related to certain binder proteins, targeting up to 14 target proteins, including Nectin-4, to research, develop, make, have made, and commercialize certain products. We made an initial upfront payment of $0.2 million and will make annual payments of less than $0.1 million on each anniversary up to the date of the first commercial sale of the first licensed product in order to retain the licenses, pursuant to which we have paid an aggregate of $0.2 million through December 31, 2025. The IPI Agreement requires us to pay up to an aggregate of $24.0 million upon achievement of certain regulatory and development milestones. In addition, if we successfully commercialize a licensed product under the IPI Agreement, we are required to pay low single-digit royalties on net sales on a product-by-product and country-by-country basis, subject to specified reductions, until the later of (a) the expiration of the last to expire valid claim covering the manufacture, use or sale of such licensed product in such country or (b) ten years after the first licensed product sale in such country. The royalties are subject to specified and capped reductions for payments owed to third parties for additional rights necessary to commercialize licensed products and will terminate upon the last to expire royalty term. As of December 31, 2025, no such milestones have been achieved. For further details see the sections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TRIUMF license agreement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July 21, 2022, we and TRIUMF Inc., a Canadian non-profit, or TRIUMF, TRIUMF Innovations, Inc., a Canadian non-profit, the University of British Columbia, and BC Cancer, a provincial health services authority, entered into a License Agreement, the TRIUMF License. Pursuant to the TRIUMF License, TRIUMF, the University of British Columbia and BC Cancer, or the Licensors, granted us a non-exclusive, worldwide license, with the right to sublicense (subject to certain conditions), under certain patents and know-how related to the Licensors’ chelator technology to make, use, sell, offer for sale, import, and export certain radiopharmaceutical products for the diagnosis, treatment, amelioration, and prevention of human diseases and conditions. None of our product candidates currently incorporate, or rely on, the licensed patents and know-how from the TRIUMF License.</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paid an initial license fee of $0.1 million upon execution of the TRIUMF License. The TRIUMF License requires us to pay up to an aggregate of $2.0 million upon achievement of certain regulatory and development milestones. We are also obligated to pay low single digit royalties on net sales of licensed products, on a product-by-product basis. For licensed products not covered by a valid claim of a licensed patent, our royalty obligation terminates on the tenth anniversary of the first commercial use of such licensed product in each country. As of December 31, 2025, no such milestones have been achieved. For further details see the sections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Minnesota license agreement</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March 3, 2023, we entered into an exclusive license agreement, the Minnesota License, with Regents of the University of Minnesota, or the University of Minnesota, under which we licensed certain rights to the licensed patents of a known target-binding miniprotein, the Licensed Patents, for commercialization. We made an initial payment of $0.1 million and paid an annual license fee of less than $0.1 million throughout the term of the Minnesota License, pursuant to which we have paid an aggregate of $0.4 million through December 31, 2025. In July 2025, we provided notice to the University of Minnesota to terminate the Minnesota License and paid the $10,000 early termination fee, with an effective termination date of September 9, 2025. None of our product candidates incorporate, or rely on, the patents and know-how from the Minnesota License. For further details see the sections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 research and collaboration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May 2024, we entered into the Collaboration Agreement with Eli Lilly to generate anticancer radiopharmaceuticals using our novel miniprotein technology platform. Pursuant to the Collaboration Agreement, we granted Eli Lilly an exclusive (even as to us and our affiliates), royalty-bearing, worldwide license, with the right to sublicense, to certain of our patents and other intellectual property rights to exploit certain compounds and therapeutic or diagnostic products that contain such compounds solely as products that contain a radioactive isotope. We also granted Eli Lilly a non-exclusive, royalty-bearing, worldwide license, with the right to sublicense, to the intellectual property necessary or useful to exploit the licensed compounds and licensed products solely as products that contain a radioactive isotope and a non-exclusive, fully paid-up license, with the right to sublicense, to exploit certain other intellectual property developed under the Collaboration Agreement for any and all purposes (subject to certain limitations). In addition, we and Eli Lilly agreed to negotiate in good faith to enter into a separate agreement in the event the parties agree that the clinical development of a licensed compound requires, or would be benefited by, a license to one of our other compounds. Eli Lilly may, at any time in its sole discretion and without cause, terminate the Collaboration Agreement on a collaboration target-by-collaboration target or region-by- region basis (or any combination thereof) upon 60 days’ prior written notice to us.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Collaboration Agreement, Eli Lilly may designate a specified number of initial collaboration targets, with the right to substitute other targets. We will be responsible for research activities through initial human imaging studies for a lead candidate for each selected target, and Eli Lilly will thereafter be responsible for regulatory filings, clinical development and commercialization activities worldwide. There is a separate research plan for each collaboration target, and our development costs are capped, on a research plan-by-research plan basis. Eli Lilly will reimburse our reasonable out-of-pocket costs and full-time equivalent costs incurred in excess of the cap.</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Eli Lilly paid us an upfront license fee of $60.0 million as a nonrefundable cash payment upon execution of the Collaboration Agreement. The Collaboration Agreement requires Eli Lilly to pay up to an aggregate of $525.0 million upon achievement of certain research development, regulatory and commercial launch milestones and up to an aggregate of $630.0 million upon achievement of certain sales milestones. As of December 31, 2025, one development milestone under the Collaboration Agreement totaling $1.0 million was achieved. In addition, if Eli Lilly successfully commercializes a therapeutic or diagnostic product under the Collaboration Agreement, Eli Lilly is required, unless earlier terminated, to pay us tiered royalties of up to 10% based on annual net sales, on a product-by-product and country-by-country basis, subject to specified reductions, until the later of the expiration of licensed patent rights in a country, expiration of regulatory exclusivity, or ten years after the first product sale in such country. The Collaboration Agreement requires Eli Lilly to use commercially reasonable efforts to develop and commercialize a licensed product from a research program in certain markets and through satisfaction of certain criteria. For further details see the sections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near future, if ever. Substantially all of our revenue to date has been derived from the work performed under the Collaboration Agreement.</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our development efforts for our current or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complete clinical trials, our ability to generate future revenues, and our results of operations and financial position would be adversely affected.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recognize research and development expenses in the periods in which they are incurred. Research and development expenses consist primarily of employee-related costs and other internal and external costs associated with our discovery and development efforts and the preclinical development of our current and future product candidates. In particular, our research and development expenses include:</w:t>
      </w:r>
    </w:p>
    <w:p>
      <w:pPr>
        <w:spacing w:after="0" w:line="68" w:lineRule="exact"/>
        <w:rPr>
          <w:sz w:val="20"/>
          <w:szCs w:val="20"/>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acquire in-process research and development with no alternative future use acquired in an asset acquisition;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including expenses incurred under arrangements with third parties, such as contract research organizations, or CROs, contract development and manufacturing organizations, or CDMOs, consultants and our scientific advisors;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including costs for laboratory supplies, research materials and reagents;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collaboration fees, including any milestone-based payments;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patent and trade secret protection for our product candidates.</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by stage of program, clinical or preclinical. We expect to report external research and development expenses for each clinical drug candidate following development candidate designation. Our internal research and development expenses are deployed across multiple programs and, as such, are not separately tracked. Significant judgments and estimates are made in determining the accrued, or prepaid expense balances at the end of any reporting period.</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our product candidates into and through clinical development and as we continue to develop additional product candidates. We expect to fund our research and development expenses from our current cash, cash equivalents, investments in marketable securities, and a combination of public and private equity offerings, debt financings, or other sources of capital, which may include additional collaborations with other companies, marketing, distribution, or licensing arrangements with third parties, or other similar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salaries, bonuses, benefits, and stock-based compensation expenses for personnel in executive, finance, accounting, human resources, and other administrative functions. General and administrative expenses also include professional and consulting expenses, including legal fees relating to patent, intellectual property, and corporate matters, professional fees for accounting, audit, and consulting services, and facility and depreciation expenses, including expenses for rent, insurance expenses, and other operating costs not included in research and development. We recognize general and administrative expenses in the periods in which they are incurred.</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expansion of the business.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earned, the accretion or amortization of discount or premiums on our cash equivalents and investments in marketable securities, income (expense) associated with the change in fair value of the Preferred Stock Warrant Liability, and realized and unrealized foreign currency transaction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or expense for the net losses we have incurred in each period or for our earned research and development tax credits, as we believe, based upon the weight of available evidence, that it is more likely than not that all of our net operating loss carryforwards and tax credits will not be realized. As of December 31, 2025, we had net operating loss carryforwards, or NOLs, for federal and state income tax purposes of $45.8 million and $40.8 million, respectively. The federal NOLs are not subject to expiration and the state NOLs begin to expire in 2041. These loss carryforwards are available to reduce future federal taxable income, if any. As of December 31, 2025 and 2024, we have recorded a full valuation allowance against our net deferred tax assets.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(63,731)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(43,980)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-454025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-454025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Collaboration revenue was $6.5 million and $1.5 million for the years ended December 31, 2025 and 2024, respectively, driven by a full year of revenue recognized in 2025 from our Collaboration Agreement with Eli Lilly, which was entered into in May 2024 and is recognized over time using the cost incurred input method.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3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Discovery and development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 (including stock-based compensation)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lab and depreciation</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research and development related costs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$67.5 million for the year ended December 31, 2025, compared to $41.0 million for the comparable prior year period. The increase of $26.5 million was primarily due to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increase primarily driven by an increase in employee-related costs (including stock-based compensation) attributable to our increased headcount to support the advancement of our clinical development programs and manufacturing;</w:t>
      </w:r>
    </w:p>
    <w:p>
      <w:pPr>
        <w:spacing w:after="0" w:line="6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increase in direct costs associated with advancing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Ac]Ac-AKY-2519 through IND-enabling studies;</w:t>
      </w:r>
    </w:p>
    <w:p>
      <w:pPr>
        <w:spacing w:after="0" w:line="75"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increase in direct costs for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related to the initiation of and ongoing operations of our Phase 1b clinical trial for this program;</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increase in discovery and development costs relating to direct external research as we continue to identify and develop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increase in facility, lab and depreciation costs primarily related to an increase in laboratory equipment as a result of our expansion of laboratory space and an increase in software subscriptions.</w:t>
      </w: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depreciation, and other</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$13.7 million for the year ended December 31, 2025, compared to $12.6 million for the comparable prior year period. The increase of $1.1 million was primarily due to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primarily driven by an increase in employee-related expenses (including stock-based compensation) attributable to our increased headcount, partially offset by;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professional and consulting expenses driven by a decrease in accounting and legal fees;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facilities expense related to the expiration of a sublease in June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income, net was $11.0 million for the year ended December 31, 2025, compared to $8.1 million for the comparable prior year period. The increase of $2.9 million was primarily driven by an increase in interest income earned due to higher average balances in cash equivalents and marketable securities in the year ended December 31, 2025, compared to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costs will continue to increase significantly, including the costs associated with operating as a public company. As a result, we will need additional capital to fund our operations, which we may obtain from additional equity or debt financings or strategic agreements.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issuance and sale of our redeemable convertible preferred stock and the Collaboration Agreement with Eli Lilly. As of December 31, 2025, we had raised aggregate net proceeds of $345.5 million through the sale and issuance of our redeemable convertible preferred stock and received $60.0 million in upfront payments and $1.0 million from the achievement of the first milestone under the Collaboration Agreement with Eli Lilly. As of December 31, 2025, we had cash, cash equivalents and marketable securities of $226.8 million.</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January 2026, we raised aggregate net proceeds of $335.3 million from the sale of shares of common stock in our initial public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(64,127)</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183,284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-813435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-813435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$64.1 million for the year ended December 31, 2025, primarily consisting of our net loss of $63.7 million and net changes in operating assets and liabilities of $3.4 million, offset by non-cash charges of $2.8 million related to accretion of investment discounts, stock-based compensation and depreciation.</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$14.8 million for the year ended December 31, 2024, primarily consisting of net changes in operating assets and liabilities of $59.0 million, primarily driven by an increase in deferred revenue in connection with the Collaboration Agreement of $58.5 million, partially offset by our net loss of $44.0 million, and $0.2 million of non-cash charges related to stock-based compensation, depreciation, and accretion of investment discounts.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$66.0 million for the year ended December 31, 2025, primarily consisting of maturities of marketable securities of $269.4 million, partially offset by purchases of marketable securities and property and equipment of $193.8 million and $9.6 million, respectively.</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$190.4 million for the year ended December 31, 2024, primarily consisting of the purchases of marketable securities and property and equipment of $288.4 million and $2.9 million, respectively, partially offset by maturities of marketable securities of $100.9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$1.2 million during the year ended December 31, 2025, primarily consisting of payments of deferred offering costs of $1.5 million, partially offset by proceeds received from the exercise of common stock options of $0.3 million.</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$183.3 million during the year ended December 31, 2024, primarily consisting of proceeds from the issuances of Series A-1 redeemable convertible preferred stock and Series B redeemable convertible preferred stock of $10.0 million and $175.0 million, respectively, and the exercise of common stock options of $0.2 million, partially offset by payments of deferred offering costs of $1.5 million and issuance costs relating to the Series A-1 and Series B financings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$226.8 million. Based upon our current operating plans, we believe that the net proceeds from our initial public offering, together with our cash, cash equivalents and marketable securities as of December 31, 2025, will be sufficient to fund our operations into 2029. We have based this estimate on assumptions that may prove to be wrong, and we could expend our capital resources sooner than we expect.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our product candidates into and through clinical development and as we continue to develop additional product candidates. In addition, we expect to incur additional costs associated with operating as a public company, including significant legal, accounting, investor relations and other expenses that we did not incur as a private company. We may also require additional capital to pursue additional research and collaboration agreements.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amount of our future working capital requirements. Our future capital requirements will depend on many factors, including:</w:t>
      </w:r>
    </w:p>
    <w:p>
      <w:pPr>
        <w:spacing w:after="0" w:line="61"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clinical development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Nectin-4 expressing tumors;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and planned clinical trials for our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advancing and furthering our miniprotein radioconjugate platform;</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operating and maintaining our manufacturing facility, or securing other manufacturing arrangements for clinical-supply and commercial production;</w:t>
      </w:r>
    </w:p>
    <w:p>
      <w:pPr>
        <w:spacing w:after="0" w:line="6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and availability of sufficient supply of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 and other radioisotopes;</w:t>
      </w:r>
    </w:p>
    <w:p>
      <w:pPr>
        <w:spacing w:after="0" w:line="6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by us or our collaborators under any current or future collaboration agreements;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14" w:name="page115"/>
    <w:bookmarkEnd w:id="114"/>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oncology indications and other adverse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protecting,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23" w:lineRule="exact"/>
        <w:rPr>
          <w:rFonts w:ascii="Times New Roman" w:cs="Times New Roman" w:eastAsia="Times New Roman" w:hAnsi="Times New Roman"/>
          <w:sz w:val="18"/>
          <w:szCs w:val="18"/>
          <w:color w:val="auto"/>
        </w:rPr>
      </w:pPr>
    </w:p>
    <w:p>
      <w:pPr>
        <w:ind w:left="760" w:hanging="378"/>
        <w:spacing w:after="0" w:line="233"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w:t>
      </w:r>
      <w:r>
        <w:rPr>
          <w:rFonts w:ascii="Times New Roman" w:cs="Times New Roman" w:eastAsia="Times New Roman" w:hAnsi="Times New Roman"/>
          <w:sz w:val="24"/>
          <w:szCs w:val="24"/>
          <w:color w:val="auto"/>
          <w:vertAlign w:val="superscript"/>
        </w:rPr>
        <w:t>225</w:t>
      </w:r>
      <w:r>
        <w:rPr>
          <w:rFonts w:ascii="Times New Roman" w:cs="Times New Roman" w:eastAsia="Times New Roman" w:hAnsi="Times New Roman"/>
          <w:sz w:val="18"/>
          <w:szCs w:val="18"/>
          <w:color w:val="auto"/>
        </w:rPr>
        <w:t>Ac]Ac-AKY-1189 for any Nectin-4 expressing tumors or any future product candidates.</w:t>
      </w:r>
    </w:p>
    <w:p>
      <w:pPr>
        <w:spacing w:after="0" w:line="9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transfer agreement</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August 2020, we entered into a royalty transfer agreement, or the Royalty Transfer Agreement, with MPM Oncology Charitable Foundation, Inc., or MPM Charitable Foundation, an affiliate of a stockholder holding more than 5% of our total outstanding stock, and the UBS Optimus Foundation, or UBS, and together with MPM Charitable Foundation, the Charitable Foundations. Pursuant to the Royalty Transfer Agreement, we will pay 0.5% of our annual global net sales to each of the Charitable Foundations, for a total of 1.0% of net sales, subject to customary reductions, for products that incorporate or utilize intellectual property that was discovered or developed by us prior to our initial public offering. Our payment obligations for each product will continue on a country-by-country basis upon the later of the twelfth anniversary of the first commercial sale of our product in such country or the expiration of the last to expire of certain patents owned or controlled by us covering such products in such country.</w:t>
      </w:r>
    </w:p>
    <w:p>
      <w:pPr>
        <w:spacing w:after="0" w:line="81"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Our payment obligations to MPM Charitable Foundation will terminate immediately upon the authorization of the MPM Charitable Foundation’s board of directors (or similar body) or upon the winding up or dissolution of MPM Charitable Foundation. Our payment obligations to UBS will terminate immediately upon the winding up of Oncology Impact Fund 2, L.P., a Cayman Islands exempted limited partnership, which is associated with MPM Charitable Foundation.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2025, we had future minimum operating lease payment obligations under non-cancellable leases of $16.3 million related to leases we have recognized on our consolidated balance sheets, which are due over the following 6.87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agreements with certain third parties to license intellectual property include potential milestone fees, sublicense fees and royalty fees. The milestone fees are dependent upon the development of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the section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For additional information on our contractual obligations and commitments please see Note 13 to our consolidated financial statements included elsewhere in this Annual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May 2024, we entered into the Collaboration Agreement. We apply the revenue recognition guidance in accordance with the Financial Accounting Standards Board, or FASB, Accounting Standards Codification, or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or ASC 606. Under ASC 606, we recognize revenue following the five steps: (i) identification of the contract(s) with a customer; (ii) identification of the promised goods and services in the contract and determination of whether the promised goods or services are performance obligations including whether they are distinct in the context of the contract;</w:t>
      </w:r>
    </w:p>
    <w:p>
      <w:pPr>
        <w:spacing w:after="0" w:line="3" w:lineRule="exact"/>
        <w:rPr>
          <w:sz w:val="20"/>
          <w:szCs w:val="20"/>
          <w:color w:val="auto"/>
        </w:rPr>
      </w:pPr>
    </w:p>
    <w:p>
      <w:pPr>
        <w:jc w:val="both"/>
        <w:ind w:firstLine="8"/>
        <w:spacing w:after="0" w:line="253" w:lineRule="auto"/>
        <w:tabs>
          <w:tab w:leader="none" w:pos="3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 (iv) allocation of the transaction price to the performance obligations; and (v) recognition of revenue when (or as) we satisfy each performance obligation. We only apply the five-step model once the contract is determined to be within scope of ASC 606 and when we determine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each contract and determine those that are performance obligations, and whether each promised good or service is distinct and if there are any material rights present. We then recognize as revenue the amount of the transaction price that is allocated to the respective performance obligation when (or as) the performance obligation is satisfied. For each material right identified, if any, the allocated transaction price will be recognized as revenue over the total estimated period of performance upon exercise of the material right, or will be recognized as revenue immediately upon expiration of the replacement right.</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part of the accounting for these arrangements, we must develop assumptions that require judgment to determine the standalone selling price for each performance obligation identified in the contract as there is not a readily available standalone selling price. Our revenue recognized is related to research services performed for each initial collaboration target whereby revenue was recognized as the underlying services were performed using a costs incurred input method, in which we apply a cost-to-cost method and compare the actual costs incurred to date with the current estimate of total costs to complete, or ETCs, to measure the satisfaction of each performance obligation. We estimate the ETCs utilizing our best knowledge and as there are changes in facts and circumstances, we update our ETCs accordingly for the ongoing and prospective research activities. To the extent the estimates are not appropriate in the circumstances, it could impact the timing of our revenue recognition. We evaluate the measure of progress each reporting period and if estimates related to the measure of progress change, related revenue recognition is adjusted accordingly.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preparing the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 xml:space="preserve">We account for stock-based compensation under the provisions of ASC Topic 718-10,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718-10, which requires all stock-based payments to employees, non-employees, and directors, including grants of stock options and restricted stock, which we collectively refer to as stock awards, to be recognized in the consolidated statements of operations and comprehensive loss based on their fair values on the date of grant over the requisite service period, which is generally the vesting period of the respective award. Forfeitures are accounted for as they occur. Generally, we issue stock awards with only service-based vesting conditions and record the expense for these awards using the straight-line method. We classify stock-based compensation expense in the same manner in which the awards recipient’s payroll or service provider’s costs are classified.</w:t>
      </w:r>
    </w:p>
    <w:p>
      <w:pPr>
        <w:spacing w:after="0" w:line="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estimate the fair value of each option grant using the Black-Scholes option pricing model and we estimate the fair value of each restricted stock grant using the fair value of common stock. The Black-Scholes option pricing model requires inputs based on certain subjective assumptions, including the expected stock price volatility, the expected term of the award, the risk-free interest rate, expected dividends, and the fair value of common stock. We estimate the expected stock price volatility based on the historical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volatility of publicly traded peer companies. The expected term of our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There is no expected dividend yield since we have never paid cash dividends on common stock and do not expect to pay any cash dividends in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 valuations</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Prior to our initial public offering in January 2026, there was no public market for our common stock to date. As a result, the estimated fair value of our common stock has been determined by our Board of Directors, or the Board,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 was prepared using a market approach to estimate our enterprise value and an option pricing method, OPM, to allocate value to the common stock.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Given the absence of a public trading market, our Board, with input from management considered numerous objective and subjective factors to determine the fair value of common stock. The factors included, but were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preferred stock and the superior rights and preferences of the preferred stock relative to our common stock at the time of each grant;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future financings;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including the status of clinical development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equity as a private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 including entering into collaboration and license agreements;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peer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biotechnology industry and trends within the biotechnology industry;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preferred stock and holders of our common stock, such as an initial public offering, or a sale of our company, given prevailing market conditions;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initial public offerings and the market performance of similar companies in the biopharmaceutical industry.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January 2026, we completed our IPO. As such, the fair value of our common stock will be determined based on the quoted market price of our common stock and it is no longer necessary for our board of directors to estimate the fair value of our common stock in connection with our accounting for granted stock options and other such awards we may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as amended,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8"/>
          <w:szCs w:val="18"/>
          <w:color w:val="auto"/>
        </w:rPr>
        <w:t>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Item 305 of Regulation S-K, we are not required to provide quantitative and qualitative disclosures about market risk.</w:t>
      </w: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6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4"/>
                <w:szCs w:val="24"/>
                <w:color w:val="auto"/>
              </w:rPr>
            </w:pPr>
          </w:p>
        </w:tc>
      </w:tr>
      <w:tr>
        <w:trPr>
          <w:trHeight w:val="418"/>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3"/>
          </w:tcPr>
          <w:p>
            <w:pPr>
              <w:spacing w:after="0"/>
              <w:rPr>
                <w:sz w:val="17"/>
                <w:szCs w:val="17"/>
                <w:color w:val="auto"/>
              </w:rPr>
            </w:pPr>
          </w:p>
        </w:tc>
        <w:tc>
          <w:tcPr>
            <w:tcW w:w="5260" w:type="dxa"/>
            <w:vAlign w:val="bottom"/>
            <w:gridSpan w:val="3"/>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4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68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Redeemable Convertible Preferred Stock and Stockholders’ Deficit</w:t>
            </w:r>
          </w:p>
        </w:tc>
        <w:tc>
          <w:tcPr>
            <w:tcW w:w="2600" w:type="dxa"/>
            <w:vAlign w:val="bottom"/>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0" w:type="dxa"/>
            <w:vAlign w:val="bottom"/>
            <w:gridSpan w:val="5"/>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94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669"/>
        </w:trPr>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9" w:name="page120"/>
    <w:bookmarkEnd w:id="11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Aktis Oncology,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Aktis Oncology, Inc. and subsidiary (the "Company") as of December 31, 2025 and 2024, the related consolidated statements of operations and comprehensive loss, redeemable convertible preferred stock and stockholders' deficit, and cash flows for each of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 thousands, except shares and par value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37,784</w:t>
            </w:r>
          </w:p>
        </w:tc>
        <w:tc>
          <w:tcPr>
            <w:tcW w:w="36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37,159</w:t>
            </w:r>
          </w:p>
        </w:tc>
        <w:tc>
          <w:tcPr>
            <w:tcW w:w="0" w:type="dxa"/>
            <w:vAlign w:val="bottom"/>
          </w:tcPr>
          <w:p>
            <w:pPr>
              <w:spacing w:after="0"/>
              <w:rPr>
                <w:sz w:val="1"/>
                <w:szCs w:val="1"/>
                <w:color w:val="auto"/>
              </w:rPr>
            </w:pPr>
          </w:p>
        </w:tc>
      </w:tr>
      <w:tr>
        <w:trPr>
          <w:trHeight w:val="148"/>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189,003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260,009</w:t>
            </w:r>
          </w:p>
        </w:tc>
        <w:tc>
          <w:tcPr>
            <w:tcW w:w="0" w:type="dxa"/>
            <w:vAlign w:val="bottom"/>
          </w:tcPr>
          <w:p>
            <w:pPr>
              <w:spacing w:after="0"/>
              <w:rPr>
                <w:sz w:val="1"/>
                <w:szCs w:val="1"/>
                <w:color w:val="auto"/>
              </w:rPr>
            </w:pPr>
          </w:p>
        </w:tc>
      </w:tr>
      <w:tr>
        <w:trPr>
          <w:trHeight w:val="148"/>
        </w:trPr>
        <w:tc>
          <w:tcPr>
            <w:tcW w:w="62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3,685</w:t>
            </w:r>
          </w:p>
        </w:tc>
        <w:tc>
          <w:tcPr>
            <w:tcW w:w="0" w:type="dxa"/>
            <w:vAlign w:val="bottom"/>
          </w:tcPr>
          <w:p>
            <w:pPr>
              <w:spacing w:after="0"/>
              <w:rPr>
                <w:sz w:val="1"/>
                <w:szCs w:val="1"/>
                <w:color w:val="auto"/>
              </w:rPr>
            </w:pPr>
          </w:p>
        </w:tc>
      </w:tr>
      <w:tr>
        <w:trPr>
          <w:trHeight w:val="142"/>
        </w:trPr>
        <w:tc>
          <w:tcPr>
            <w:tcW w:w="62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230,310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300,853</w:t>
            </w:r>
          </w:p>
        </w:tc>
        <w:tc>
          <w:tcPr>
            <w:tcW w:w="0" w:type="dxa"/>
            <w:vAlign w:val="bottom"/>
          </w:tcPr>
          <w:p>
            <w:pPr>
              <w:spacing w:after="0"/>
              <w:rPr>
                <w:sz w:val="1"/>
                <w:szCs w:val="1"/>
                <w:color w:val="auto"/>
              </w:rPr>
            </w:pPr>
          </w:p>
        </w:tc>
      </w:tr>
      <w:tr>
        <w:trPr>
          <w:trHeight w:val="142"/>
        </w:trPr>
        <w:tc>
          <w:tcPr>
            <w:tcW w:w="6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Property and equipment, net</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14,595</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7,298</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 use assets</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12,651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13,573</w:t>
            </w:r>
          </w:p>
        </w:tc>
        <w:tc>
          <w:tcPr>
            <w:tcW w:w="0" w:type="dxa"/>
            <w:vAlign w:val="bottom"/>
          </w:tcPr>
          <w:p>
            <w:pPr>
              <w:spacing w:after="0"/>
              <w:rPr>
                <w:sz w:val="1"/>
                <w:szCs w:val="1"/>
                <w:color w:val="auto"/>
              </w:rPr>
            </w:pPr>
          </w:p>
        </w:tc>
      </w:tr>
      <w:tr>
        <w:trPr>
          <w:trHeight w:val="149"/>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 equivalents</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6,180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3,308</w:t>
            </w:r>
          </w:p>
        </w:tc>
        <w:tc>
          <w:tcPr>
            <w:tcW w:w="0" w:type="dxa"/>
            <w:vAlign w:val="bottom"/>
          </w:tcPr>
          <w:p>
            <w:pPr>
              <w:spacing w:after="0"/>
              <w:rPr>
                <w:sz w:val="1"/>
                <w:szCs w:val="1"/>
                <w:color w:val="auto"/>
              </w:rPr>
            </w:pPr>
          </w:p>
        </w:tc>
      </w:tr>
      <w:tr>
        <w:trPr>
          <w:trHeight w:val="182"/>
        </w:trPr>
        <w:tc>
          <w:tcPr>
            <w:tcW w:w="62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264,885</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326,181</w:t>
            </w:r>
          </w:p>
        </w:tc>
        <w:tc>
          <w:tcPr>
            <w:tcW w:w="0" w:type="dxa"/>
            <w:vAlign w:val="bottom"/>
          </w:tcPr>
          <w:p>
            <w:pPr>
              <w:spacing w:after="0"/>
              <w:rPr>
                <w:sz w:val="1"/>
                <w:szCs w:val="1"/>
                <w:color w:val="auto"/>
              </w:rPr>
            </w:pPr>
          </w:p>
        </w:tc>
      </w:tr>
      <w:tr>
        <w:trPr>
          <w:trHeight w:val="129"/>
        </w:trPr>
        <w:tc>
          <w:tcPr>
            <w:tcW w:w="62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3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9,522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6,331</w:t>
            </w:r>
          </w:p>
        </w:tc>
        <w:tc>
          <w:tcPr>
            <w:tcW w:w="0" w:type="dxa"/>
            <w:vAlign w:val="bottom"/>
          </w:tcPr>
          <w:p>
            <w:pPr>
              <w:spacing w:after="0"/>
              <w:rPr>
                <w:sz w:val="1"/>
                <w:szCs w:val="1"/>
                <w:color w:val="auto"/>
              </w:rPr>
            </w:pPr>
          </w:p>
        </w:tc>
      </w:tr>
      <w:tr>
        <w:trPr>
          <w:trHeight w:val="149"/>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 current portion</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18,662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9,277</w:t>
            </w:r>
          </w:p>
        </w:tc>
        <w:tc>
          <w:tcPr>
            <w:tcW w:w="0" w:type="dxa"/>
            <w:vAlign w:val="bottom"/>
          </w:tcPr>
          <w:p>
            <w:pPr>
              <w:spacing w:after="0"/>
              <w:rPr>
                <w:sz w:val="1"/>
                <w:szCs w:val="1"/>
                <w:color w:val="auto"/>
              </w:rPr>
            </w:pPr>
          </w:p>
        </w:tc>
      </w:tr>
      <w:tr>
        <w:trPr>
          <w:trHeight w:val="148"/>
        </w:trPr>
        <w:tc>
          <w:tcPr>
            <w:tcW w:w="62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3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2"/>
        </w:trPr>
        <w:tc>
          <w:tcPr>
            <w:tcW w:w="62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31,236</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18,822</w:t>
            </w:r>
          </w:p>
        </w:tc>
        <w:tc>
          <w:tcPr>
            <w:tcW w:w="0" w:type="dxa"/>
            <w:vAlign w:val="bottom"/>
          </w:tcPr>
          <w:p>
            <w:pPr>
              <w:spacing w:after="0"/>
              <w:rPr>
                <w:sz w:val="1"/>
                <w:szCs w:val="1"/>
                <w:color w:val="auto"/>
              </w:rPr>
            </w:pPr>
          </w:p>
        </w:tc>
      </w:tr>
      <w:tr>
        <w:trPr>
          <w:trHeight w:val="142"/>
        </w:trPr>
        <w:tc>
          <w:tcPr>
            <w:tcW w:w="6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36,156</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51,039</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10,233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10,714</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77,625</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80,575</w:t>
            </w:r>
          </w:p>
        </w:tc>
        <w:tc>
          <w:tcPr>
            <w:tcW w:w="0" w:type="dxa"/>
            <w:vAlign w:val="bottom"/>
          </w:tcPr>
          <w:p>
            <w:pPr>
              <w:spacing w:after="0"/>
              <w:rPr>
                <w:sz w:val="1"/>
                <w:szCs w:val="1"/>
                <w:color w:val="auto"/>
              </w:rPr>
            </w:pPr>
          </w:p>
        </w:tc>
      </w:tr>
      <w:tr>
        <w:trPr>
          <w:trHeight w:val="142"/>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13)</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Series Seed redeemable convertible preferred stock, $0.0001 par value; 5,000,000</w:t>
            </w: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issued and outstanding; aggregate liquidation preference of</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$5,000 as of December 31, 2025</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Series A redeemable convertible preferred stock, $0.0001 par value; 78,067,500</w:t>
            </w:r>
          </w:p>
        </w:tc>
        <w:tc>
          <w:tcPr>
            <w:tcW w:w="13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issued and outstanding; aggregate liquidation preference of</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145,050</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145,050</w:t>
            </w:r>
          </w:p>
        </w:tc>
        <w:tc>
          <w:tcPr>
            <w:tcW w:w="0" w:type="dxa"/>
            <w:vAlign w:val="bottom"/>
          </w:tcPr>
          <w:p>
            <w:pPr>
              <w:spacing w:after="0"/>
              <w:rPr>
                <w:sz w:val="1"/>
                <w:szCs w:val="1"/>
                <w:color w:val="auto"/>
              </w:rPr>
            </w:pPr>
          </w:p>
        </w:tc>
      </w:tr>
      <w:tr>
        <w:trPr>
          <w:trHeight w:val="171"/>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$156,135 as of December 31, 2025</w:t>
            </w: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Series A-1 redeemable convertible preferred stock, $0.0001 par value; 2,500,000</w:t>
            </w: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issued and outstanding; aggregate liquidation preference of</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8,197</w:t>
            </w:r>
          </w:p>
        </w:tc>
        <w:tc>
          <w:tcPr>
            <w:tcW w:w="0" w:type="dxa"/>
            <w:vAlign w:val="bottom"/>
          </w:tcPr>
          <w:p>
            <w:pPr>
              <w:spacing w:after="0"/>
              <w:rPr>
                <w:sz w:val="1"/>
                <w:szCs w:val="1"/>
                <w:color w:val="auto"/>
              </w:rPr>
            </w:pPr>
          </w:p>
        </w:tc>
      </w:tr>
      <w:tr>
        <w:trPr>
          <w:trHeight w:val="171"/>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$10,000 as of December 31, 2025</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Series B redeemable convertible preferred stock, $0.0001 par value; 43,750,000</w:t>
            </w:r>
          </w:p>
        </w:tc>
        <w:tc>
          <w:tcPr>
            <w:tcW w:w="13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issued and outstanding; aggregate liquidation preference of</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174,654</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174,654</w:t>
            </w:r>
          </w:p>
        </w:tc>
        <w:tc>
          <w:tcPr>
            <w:tcW w:w="0" w:type="dxa"/>
            <w:vAlign w:val="bottom"/>
          </w:tcPr>
          <w:p>
            <w:pPr>
              <w:spacing w:after="0"/>
              <w:rPr>
                <w:sz w:val="1"/>
                <w:szCs w:val="1"/>
                <w:color w:val="auto"/>
              </w:rPr>
            </w:pPr>
          </w:p>
        </w:tc>
      </w:tr>
      <w:tr>
        <w:trPr>
          <w:trHeight w:val="171"/>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$175,000 as of December 31, 2025</w:t>
            </w: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Partner redeemable convertible preferred stock, $0.0001 par value; 250,000</w:t>
            </w: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issued and outstanding; aggregate liquidation preference of</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71"/>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$500 as of December 31, 2025</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156,800,000 and 155,000,000 shares authorized</w:t>
            </w: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as of December 31, 2025 and 2024, respectively; 915,261 shares</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780,996 shares issued and outstanding as of December 31, 2025 and</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 respectively</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10,373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149"/>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62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3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(156,564)</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(92,833)</w:t>
            </w:r>
          </w:p>
        </w:tc>
        <w:tc>
          <w:tcPr>
            <w:tcW w:w="0" w:type="dxa"/>
            <w:vAlign w:val="bottom"/>
          </w:tcPr>
          <w:p>
            <w:pPr>
              <w:spacing w:after="0"/>
              <w:rPr>
                <w:sz w:val="1"/>
                <w:szCs w:val="1"/>
                <w:color w:val="auto"/>
              </w:rPr>
            </w:pPr>
          </w:p>
        </w:tc>
      </w:tr>
      <w:tr>
        <w:trPr>
          <w:trHeight w:val="142"/>
        </w:trPr>
        <w:tc>
          <w:tcPr>
            <w:tcW w:w="62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deficit</w:t>
            </w: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(146,149)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(87,803)</w:t>
            </w:r>
          </w:p>
        </w:tc>
        <w:tc>
          <w:tcPr>
            <w:tcW w:w="0" w:type="dxa"/>
            <w:vAlign w:val="bottom"/>
          </w:tcPr>
          <w:p>
            <w:pPr>
              <w:spacing w:after="0"/>
              <w:rPr>
                <w:sz w:val="1"/>
                <w:szCs w:val="1"/>
                <w:color w:val="auto"/>
              </w:rPr>
            </w:pPr>
          </w:p>
        </w:tc>
      </w:tr>
      <w:tr>
        <w:trPr>
          <w:trHeight w:val="182"/>
        </w:trPr>
        <w:tc>
          <w:tcPr>
            <w:tcW w:w="62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deficit</w:t>
            </w:r>
          </w:p>
        </w:tc>
        <w:tc>
          <w:tcPr>
            <w:tcW w:w="13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264,885</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326,181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-4182745</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-3590925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-3573780</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-2999740</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-2596515</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-231140</wp:posOffset>
            </wp:positionV>
            <wp:extent cx="102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20" w:type="dxa"/>
            <w:vAlign w:val="bottom"/>
            <w:gridSpan w:val="5"/>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Collaboration revenue</w:t>
            </w:r>
          </w:p>
        </w:tc>
        <w:tc>
          <w:tcPr>
            <w:tcW w:w="960" w:type="dxa"/>
            <w:vAlign w:val="bottom"/>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6,497</w:t>
            </w:r>
          </w:p>
        </w:tc>
        <w:tc>
          <w:tcPr>
            <w:tcW w:w="180" w:type="dxa"/>
            <w:vAlign w:val="bottom"/>
          </w:tcPr>
          <w:p>
            <w:pPr>
              <w:spacing w:after="0"/>
              <w:rPr>
                <w:sz w:val="17"/>
                <w:szCs w:val="17"/>
                <w:color w:val="auto"/>
              </w:rPr>
            </w:pP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Borders>
              <w:right w:val="single" w:sz="8" w:color="CFF0FC"/>
            </w:tcBorders>
            <w:shd w:val="clear" w:color="auto" w:fill="CFF0FC"/>
          </w:tcPr>
          <w:p>
            <w:pPr>
              <w:ind w:left="120"/>
              <w:spacing w:after="0" w:line="181" w:lineRule="exact"/>
              <w:rPr>
                <w:sz w:val="20"/>
                <w:szCs w:val="20"/>
                <w:color w:val="auto"/>
              </w:rPr>
            </w:pPr>
            <w:r>
              <w:rPr>
                <w:rFonts w:ascii="Times New Roman" w:cs="Times New Roman" w:eastAsia="Times New Roman" w:hAnsi="Times New Roman"/>
                <w:sz w:val="17"/>
                <w:szCs w:val="17"/>
                <w:color w:val="auto"/>
              </w:rPr>
              <w:t>General and administrative (includes $4 and $143 for related parties,</w:t>
            </w:r>
          </w:p>
        </w:tc>
        <w:tc>
          <w:tcPr>
            <w:tcW w:w="96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tcBorders>
              <w:bottom w:val="single" w:sz="8" w:color="CFF0FC"/>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respectively)</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(74,684)</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(52,050)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11,009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preferred stock warrant liability</w:t>
            </w:r>
          </w:p>
        </w:tc>
        <w:tc>
          <w:tcPr>
            <w:tcW w:w="9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Other expense, net</w:t>
            </w: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7"/>
                <w:szCs w:val="17"/>
                <w:color w:val="auto"/>
              </w:rPr>
              <w:t>Total other income, net</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10,953</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8,070</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shd w:val="clear" w:color="auto" w:fill="CFF0FC"/>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(63,731)</w:t>
            </w:r>
          </w:p>
        </w:tc>
        <w:tc>
          <w:tcPr>
            <w:tcW w:w="108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(43,980)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Net loss per share - basic and diluted</w:t>
            </w:r>
          </w:p>
        </w:tc>
        <w:tc>
          <w:tcPr>
            <w:tcW w:w="960" w:type="dxa"/>
            <w:vAlign w:val="bottom"/>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line="183" w:lineRule="exact"/>
              <w:rPr>
                <w:sz w:val="20"/>
                <w:szCs w:val="20"/>
                <w:color w:val="auto"/>
              </w:rPr>
            </w:pPr>
            <w:r>
              <w:rPr>
                <w:rFonts w:ascii="Times New Roman" w:cs="Times New Roman" w:eastAsia="Times New Roman" w:hAnsi="Times New Roman"/>
                <w:sz w:val="17"/>
                <w:szCs w:val="17"/>
                <w:color w:val="auto"/>
              </w:rPr>
              <w:t>(78.34)</w:t>
            </w:r>
          </w:p>
        </w:tc>
        <w:tc>
          <w:tcPr>
            <w:tcW w:w="1080" w:type="dxa"/>
            <w:vAlign w:val="bottom"/>
            <w:gridSpan w:val="2"/>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(62.46)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FF0FC"/>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Weighted-average common stock outstanding, basic and diluted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813,524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7"/>
              </w:rPr>
              <w:t>704,165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Comprehensive loss: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shd w:val="clear" w:color="auto" w:fill="CFF0FC"/>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(63,731)</w:t>
            </w:r>
          </w:p>
        </w:tc>
        <w:tc>
          <w:tcPr>
            <w:tcW w:w="108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(43,980)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Net unrealized (loss) gain on marketable securities held</w:t>
            </w: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960" w:type="dxa"/>
            <w:vAlign w:val="bottom"/>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(63,813)</w:t>
            </w: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-3003550</wp:posOffset>
            </wp:positionV>
            <wp:extent cx="939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-3003550</wp:posOffset>
            </wp:positionV>
            <wp:extent cx="10287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-2082165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-2082165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-1807845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-1807845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-1285240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-1285240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-1010920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-993775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-1010920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-993775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-702310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-685165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-702310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-685165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-161925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-161925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1"/>
                <w:szCs w:val="11"/>
                <w:color w:val="auto"/>
              </w:rPr>
            </w:pPr>
          </w:p>
        </w:tc>
        <w:tc>
          <w:tcPr>
            <w:tcW w:w="760" w:type="dxa"/>
            <w:vAlign w:val="bottom"/>
            <w:gridSpan w:val="3"/>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Series Seed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540" w:type="dxa"/>
            <w:vAlign w:val="bottom"/>
          </w:tcPr>
          <w:p>
            <w:pPr>
              <w:spacing w:after="0"/>
              <w:rPr>
                <w:sz w:val="10"/>
                <w:szCs w:val="10"/>
                <w:color w:val="auto"/>
              </w:rPr>
            </w:pPr>
          </w:p>
        </w:tc>
        <w:tc>
          <w:tcPr>
            <w:tcW w:w="1020" w:type="dxa"/>
            <w:vAlign w:val="bottom"/>
            <w:gridSpan w:val="4"/>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20" w:type="dxa"/>
            <w:vAlign w:val="bottom"/>
          </w:tcPr>
          <w:p>
            <w:pPr>
              <w:spacing w:after="0"/>
              <w:rPr>
                <w:sz w:val="10"/>
                <w:szCs w:val="10"/>
                <w:color w:val="auto"/>
              </w:rPr>
            </w:pPr>
          </w:p>
        </w:tc>
        <w:tc>
          <w:tcPr>
            <w:tcW w:w="102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Series A Redeemable</w:t>
            </w:r>
          </w:p>
        </w:tc>
        <w:tc>
          <w:tcPr>
            <w:tcW w:w="120" w:type="dxa"/>
            <w:vAlign w:val="bottom"/>
          </w:tcPr>
          <w:p>
            <w:pPr>
              <w:spacing w:after="0"/>
              <w:rPr>
                <w:sz w:val="10"/>
                <w:szCs w:val="10"/>
                <w:color w:val="auto"/>
              </w:rPr>
            </w:pPr>
          </w:p>
        </w:tc>
        <w:tc>
          <w:tcPr>
            <w:tcW w:w="11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A-1 Redeemable</w:t>
            </w:r>
          </w:p>
        </w:tc>
        <w:tc>
          <w:tcPr>
            <w:tcW w:w="140" w:type="dxa"/>
            <w:vAlign w:val="bottom"/>
          </w:tcPr>
          <w:p>
            <w:pPr>
              <w:spacing w:after="0"/>
              <w:rPr>
                <w:sz w:val="10"/>
                <w:szCs w:val="10"/>
                <w:color w:val="auto"/>
              </w:rPr>
            </w:pPr>
          </w:p>
        </w:tc>
        <w:tc>
          <w:tcPr>
            <w:tcW w:w="1200" w:type="dxa"/>
            <w:vAlign w:val="bottom"/>
            <w:gridSpan w:val="4"/>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Series B Redeemable</w:t>
            </w:r>
          </w:p>
        </w:tc>
        <w:tc>
          <w:tcPr>
            <w:tcW w:w="100" w:type="dxa"/>
            <w:vAlign w:val="bottom"/>
          </w:tcPr>
          <w:p>
            <w:pPr>
              <w:spacing w:after="0"/>
              <w:rPr>
                <w:sz w:val="10"/>
                <w:szCs w:val="10"/>
                <w:color w:val="auto"/>
              </w:rPr>
            </w:pPr>
          </w:p>
        </w:tc>
        <w:tc>
          <w:tcPr>
            <w:tcW w:w="10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Partner Redeemable</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ed Other</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1540" w:type="dxa"/>
            <w:vAlign w:val="bottom"/>
          </w:tcPr>
          <w:p>
            <w:pPr>
              <w:spacing w:after="0"/>
              <w:rPr>
                <w:sz w:val="10"/>
                <w:szCs w:val="10"/>
                <w:color w:val="auto"/>
              </w:rPr>
            </w:pPr>
          </w:p>
        </w:tc>
        <w:tc>
          <w:tcPr>
            <w:tcW w:w="76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40" w:type="dxa"/>
            <w:vAlign w:val="bottom"/>
          </w:tcPr>
          <w:p>
            <w:pPr>
              <w:spacing w:after="0"/>
              <w:rPr>
                <w:sz w:val="10"/>
                <w:szCs w:val="10"/>
                <w:color w:val="auto"/>
              </w:rPr>
            </w:pPr>
          </w:p>
        </w:tc>
        <w:tc>
          <w:tcPr>
            <w:tcW w:w="1200" w:type="dxa"/>
            <w:vAlign w:val="bottom"/>
            <w:gridSpan w:val="4"/>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00" w:type="dxa"/>
            <w:vAlign w:val="bottom"/>
          </w:tcPr>
          <w:p>
            <w:pPr>
              <w:spacing w:after="0"/>
              <w:rPr>
                <w:sz w:val="10"/>
                <w:szCs w:val="10"/>
                <w:color w:val="auto"/>
              </w:rPr>
            </w:pP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6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w:t>
            </w:r>
          </w:p>
        </w:tc>
        <w:tc>
          <w:tcPr>
            <w:tcW w:w="6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Accumulat</w:t>
            </w:r>
          </w:p>
        </w:tc>
        <w:tc>
          <w:tcPr>
            <w:tcW w:w="7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w:t>
            </w:r>
          </w:p>
        </w:tc>
      </w:tr>
      <w:tr>
        <w:trPr>
          <w:trHeight w:val="135"/>
        </w:trPr>
        <w:tc>
          <w:tcPr>
            <w:tcW w:w="1540" w:type="dxa"/>
            <w:vAlign w:val="bottom"/>
          </w:tcPr>
          <w:p>
            <w:pPr>
              <w:spacing w:after="0"/>
              <w:rPr>
                <w:sz w:val="11"/>
                <w:szCs w:val="11"/>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11"/>
                <w:szCs w:val="11"/>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1"/>
                <w:szCs w:val="11"/>
                <w:color w:val="auto"/>
              </w:rPr>
            </w:pPr>
          </w:p>
        </w:tc>
        <w:tc>
          <w:tcPr>
            <w:tcW w:w="760" w:type="dxa"/>
            <w:vAlign w:val="bottom"/>
            <w:tcBorders>
              <w:bottom w:val="single" w:sz="8" w:color="auto"/>
            </w:tcBorders>
            <w:gridSpan w:val="2"/>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bottom w:val="single" w:sz="8" w:color="auto"/>
            </w:tcBorders>
            <w:gridSpan w:val="2"/>
          </w:tcPr>
          <w:p>
            <w:pPr>
              <w:jc w:val="center"/>
              <w:ind w:left="3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1"/>
                <w:szCs w:val="11"/>
                <w:color w:val="auto"/>
              </w:rPr>
            </w:pPr>
          </w:p>
        </w:tc>
        <w:tc>
          <w:tcPr>
            <w:tcW w:w="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nsive</w:t>
            </w:r>
          </w:p>
        </w:tc>
        <w:tc>
          <w:tcPr>
            <w:tcW w:w="80" w:type="dxa"/>
            <w:vAlign w:val="bottom"/>
          </w:tcPr>
          <w:p>
            <w:pPr>
              <w:spacing w:after="0"/>
              <w:rPr>
                <w:sz w:val="11"/>
                <w:szCs w:val="11"/>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ed</w:t>
            </w:r>
          </w:p>
        </w:tc>
        <w:tc>
          <w:tcPr>
            <w:tcW w:w="10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81"/>
              </w:rPr>
              <w:t>s'</w:t>
            </w:r>
          </w:p>
        </w:tc>
      </w:tr>
      <w:tr>
        <w:trPr>
          <w:trHeight w:val="99"/>
        </w:trPr>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7"/>
        </w:trPr>
        <w:tc>
          <w:tcPr>
            <w:tcW w:w="1540" w:type="dxa"/>
            <w:vAlign w:val="bottom"/>
          </w:tcPr>
          <w:p>
            <w:pPr>
              <w:spacing w:after="0"/>
              <w:rPr>
                <w:sz w:val="11"/>
                <w:szCs w:val="11"/>
                <w:color w:val="auto"/>
              </w:rPr>
            </w:pPr>
          </w:p>
        </w:tc>
        <w:tc>
          <w:tcPr>
            <w:tcW w:w="4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4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r>
      <w:tr>
        <w:trPr>
          <w:trHeight w:val="101"/>
        </w:trPr>
        <w:tc>
          <w:tcPr>
            <w:tcW w:w="154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Balance as of December 31, 2023</w:t>
            </w:r>
          </w:p>
        </w:tc>
        <w:tc>
          <w:tcPr>
            <w:tcW w:w="4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5,000,0</w:t>
            </w: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78,067,</w:t>
            </w: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96"/>
              </w:rPr>
              <w:t>145,0</w:t>
            </w: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649,7</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35"/>
        </w:trPr>
        <w:tc>
          <w:tcPr>
            <w:tcW w:w="15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8"/>
              </w:rPr>
              <w:t>5,000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2,465</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(48,853)</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(46,306)</w:t>
            </w:r>
          </w:p>
        </w:tc>
      </w:tr>
      <w:tr>
        <w:trPr>
          <w:trHeight w:val="108"/>
        </w:trPr>
        <w:tc>
          <w:tcPr>
            <w:tcW w:w="1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Vesting of restricted stock</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33,67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5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r>
      <w:tr>
        <w:trPr>
          <w:trHeight w:val="108"/>
        </w:trPr>
        <w:tc>
          <w:tcPr>
            <w:tcW w:w="1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Series A-1 redeemable</w:t>
            </w: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1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convertible preferred stock</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8,197</w:t>
            </w:r>
          </w:p>
        </w:tc>
        <w:tc>
          <w:tcPr>
            <w:tcW w:w="14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B redeemable</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1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convertible preferred stock, net</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174,65</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costs of $331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43,750,000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Partner redeemable</w:t>
            </w: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1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convertible preferred stock</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2,260</w:t>
            </w:r>
          </w:p>
        </w:tc>
        <w:tc>
          <w:tcPr>
            <w:tcW w:w="100" w:type="dxa"/>
            <w:vAlign w:val="bottom"/>
          </w:tcPr>
          <w:p>
            <w:pPr>
              <w:spacing w:after="0"/>
              <w:rPr>
                <w:sz w:val="10"/>
                <w:szCs w:val="10"/>
                <w:color w:val="auto"/>
              </w:rPr>
            </w:pPr>
          </w:p>
        </w:tc>
      </w:tr>
      <w:tr>
        <w:trPr>
          <w:trHeight w:val="108"/>
        </w:trPr>
        <w:tc>
          <w:tcPr>
            <w:tcW w:w="1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Exercise of common stock options</w:t>
            </w: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97,58</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15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FF0FC"/>
          </w:tcPr>
          <w:p>
            <w:pPr>
              <w:spacing w:after="0"/>
              <w:rPr>
                <w:sz w:val="11"/>
                <w:szCs w:val="11"/>
                <w:color w:val="auto"/>
              </w:rPr>
            </w:pPr>
          </w:p>
        </w:tc>
      </w:tr>
      <w:tr>
        <w:trPr>
          <w:trHeight w:val="108"/>
        </w:trPr>
        <w:tc>
          <w:tcPr>
            <w:tcW w:w="1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marketable</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1"/>
                <w:szCs w:val="11"/>
                <w:color w:val="auto"/>
              </w:rPr>
            </w:pPr>
          </w:p>
        </w:tc>
      </w:tr>
      <w:tr>
        <w:trPr>
          <w:trHeight w:val="122"/>
        </w:trPr>
        <w:tc>
          <w:tcPr>
            <w:tcW w:w="15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(43,980)</w:t>
            </w: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(43,980)</w:t>
            </w:r>
          </w:p>
        </w:tc>
      </w:tr>
      <w:tr>
        <w:trPr>
          <w:trHeight w:val="101"/>
        </w:trPr>
        <w:tc>
          <w:tcPr>
            <w:tcW w:w="154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Balance as of December 31, 2024</w:t>
            </w: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5,000,0</w:t>
            </w:r>
          </w:p>
        </w:tc>
        <w:tc>
          <w:tcPr>
            <w:tcW w:w="1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78,067,</w:t>
            </w:r>
          </w:p>
        </w:tc>
        <w:tc>
          <w:tcPr>
            <w:tcW w:w="1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6"/>
              </w:rPr>
              <w:t>145,0</w:t>
            </w:r>
          </w:p>
        </w:tc>
        <w:tc>
          <w:tcPr>
            <w:tcW w:w="120" w:type="dxa"/>
            <w:vAlign w:val="bottom"/>
            <w:tcBorders>
              <w:top w:val="single" w:sz="8" w:color="CFF0FC"/>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174,65</w:t>
            </w: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780,9</w:t>
            </w:r>
          </w:p>
        </w:tc>
        <w:tc>
          <w:tcPr>
            <w:tcW w:w="12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35"/>
        </w:trPr>
        <w:tc>
          <w:tcPr>
            <w:tcW w:w="15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8"/>
              </w:rPr>
              <w:t>5,000</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1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8,197</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43,750,000</w:t>
            </w:r>
          </w:p>
        </w:tc>
        <w:tc>
          <w:tcPr>
            <w:tcW w:w="120" w:type="dxa"/>
            <w:vAlign w:val="bottom"/>
          </w:tcPr>
          <w:p>
            <w:pPr>
              <w:spacing w:after="0"/>
              <w:rPr>
                <w:sz w:val="11"/>
                <w:szCs w:val="11"/>
                <w:color w:val="auto"/>
              </w:rPr>
            </w:pPr>
          </w:p>
        </w:tc>
        <w:tc>
          <w:tcPr>
            <w:tcW w:w="100" w:type="dxa"/>
            <w:vAlign w:val="bottom"/>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20" w:type="dxa"/>
            <w:vAlign w:val="bottom"/>
          </w:tcPr>
          <w:p>
            <w:pPr>
              <w:spacing w:after="0"/>
              <w:rPr>
                <w:sz w:val="11"/>
                <w:szCs w:val="1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(92,833 )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(87,803)</w:t>
            </w:r>
          </w:p>
        </w:tc>
      </w:tr>
      <w:tr>
        <w:trPr>
          <w:trHeight w:val="115"/>
        </w:trPr>
        <w:tc>
          <w:tcPr>
            <w:tcW w:w="15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Stock-based compensation</w:t>
            </w:r>
          </w:p>
        </w:tc>
        <w:tc>
          <w:tcPr>
            <w:tcW w:w="4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5,131</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5,131</w:t>
            </w:r>
          </w:p>
        </w:tc>
        <w:tc>
          <w:tcPr>
            <w:tcW w:w="100" w:type="dxa"/>
            <w:vAlign w:val="bottom"/>
            <w:shd w:val="clear" w:color="auto" w:fill="CFF0FC"/>
          </w:tcPr>
          <w:p>
            <w:pPr>
              <w:spacing w:after="0"/>
              <w:rPr>
                <w:sz w:val="10"/>
                <w:szCs w:val="10"/>
                <w:color w:val="auto"/>
              </w:rPr>
            </w:pPr>
          </w:p>
        </w:tc>
      </w:tr>
      <w:tr>
        <w:trPr>
          <w:trHeight w:val="108"/>
        </w:trPr>
        <w:tc>
          <w:tcPr>
            <w:tcW w:w="1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99"/>
              </w:rPr>
              <w:t>Exercise of common stock options</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134,2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5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1"/>
                <w:szCs w:val="11"/>
                <w:color w:val="auto"/>
              </w:rPr>
            </w:pPr>
          </w:p>
        </w:tc>
      </w:tr>
      <w:tr>
        <w:trPr>
          <w:trHeight w:val="108"/>
        </w:trPr>
        <w:tc>
          <w:tcPr>
            <w:tcW w:w="1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marketable</w:t>
            </w: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1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securities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(82)</w:t>
            </w:r>
          </w:p>
        </w:tc>
      </w:tr>
      <w:tr>
        <w:trPr>
          <w:trHeight w:val="121"/>
        </w:trPr>
        <w:tc>
          <w:tcPr>
            <w:tcW w:w="1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(63,731)</w:t>
            </w:r>
          </w:p>
        </w:tc>
        <w:tc>
          <w:tcPr>
            <w:tcW w:w="10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(63,731)</w:t>
            </w:r>
          </w:p>
        </w:tc>
      </w:tr>
      <w:tr>
        <w:trPr>
          <w:trHeight w:val="101"/>
        </w:trPr>
        <w:tc>
          <w:tcPr>
            <w:tcW w:w="154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Balance as of December 31, 2025</w:t>
            </w:r>
          </w:p>
        </w:tc>
        <w:tc>
          <w:tcPr>
            <w:tcW w:w="4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5,000,0</w:t>
            </w:r>
          </w:p>
        </w:tc>
        <w:tc>
          <w:tcPr>
            <w:tcW w:w="12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78,067,</w:t>
            </w:r>
          </w:p>
        </w:tc>
        <w:tc>
          <w:tcPr>
            <w:tcW w:w="12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96"/>
              </w:rPr>
              <w:t>145,0</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174,65</w:t>
            </w: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915,2</w:t>
            </w:r>
          </w:p>
        </w:tc>
        <w:tc>
          <w:tcPr>
            <w:tcW w:w="120" w:type="dxa"/>
            <w:vAlign w:val="bottom"/>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35"/>
        </w:trPr>
        <w:tc>
          <w:tcPr>
            <w:tcW w:w="15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8"/>
              </w:rPr>
              <w:t>5,000</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8,197</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43,750,000</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10,373</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(156,564 )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(146,149 )</w:t>
            </w:r>
          </w:p>
        </w:tc>
      </w:tr>
      <w:tr>
        <w:trPr>
          <w:trHeight w:val="20"/>
        </w:trPr>
        <w:tc>
          <w:tcPr>
            <w:tcW w:w="15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-805180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-805180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-805180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-805180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-805180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-805180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-805180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-805180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-805180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-805180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-805180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-805180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-805180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4"/>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197"/>
        </w:trPr>
        <w:tc>
          <w:tcPr>
            <w:tcW w:w="84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(used in) provided by operating activities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(63,731)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(43,980)</w:t>
            </w: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flows (used in) provided by operating activities: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2,329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1,575</w:t>
            </w: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5,131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2,260</w:t>
            </w: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preferred stock warrant liability</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amortization of premiums and accretion of discounts on investments in marketable securities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(4,081)</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receivable</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1,034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1,861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1,970</w:t>
            </w: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360</w:t>
            </w: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2,152</w:t>
            </w:r>
          </w:p>
        </w:tc>
      </w:tr>
      <w:tr>
        <w:trPr>
          <w:trHeight w:val="203"/>
        </w:trPr>
        <w:tc>
          <w:tcPr>
            <w:tcW w:w="8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(1,522)</w:t>
            </w: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58,513</w:t>
            </w:r>
          </w:p>
        </w:tc>
      </w:tr>
      <w:tr>
        <w:trPr>
          <w:trHeight w:val="196"/>
        </w:trPr>
        <w:tc>
          <w:tcPr>
            <w:tcW w:w="84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(64,127)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14,762</w:t>
            </w:r>
          </w:p>
        </w:tc>
      </w:tr>
      <w:tr>
        <w:trPr>
          <w:trHeight w:val="196"/>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provided by (used in) investing activities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(193,868)</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(288,396)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269,416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100,858</w:t>
            </w:r>
          </w:p>
        </w:tc>
      </w:tr>
      <w:tr>
        <w:trPr>
          <w:trHeight w:val="203"/>
        </w:trPr>
        <w:tc>
          <w:tcPr>
            <w:tcW w:w="8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(2,862)</w:t>
            </w:r>
          </w:p>
        </w:tc>
      </w:tr>
      <w:tr>
        <w:trPr>
          <w:trHeight w:val="196"/>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65,964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(190,400)</w:t>
            </w:r>
          </w:p>
        </w:tc>
      </w:tr>
      <w:tr>
        <w:trPr>
          <w:trHeight w:val="19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(used in) provided by financing activities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Series A-1 redeemable convertible preferred stock</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10,000</w:t>
            </w:r>
          </w:p>
        </w:tc>
      </w:tr>
      <w:tr>
        <w:trPr>
          <w:trHeight w:val="202"/>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issuance of Series B redeemable convertible preferred stock</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175,000</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Payment of issuance costs</w:t>
            </w:r>
          </w:p>
        </w:tc>
        <w:tc>
          <w:tcPr>
            <w:tcW w:w="2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(1,549)</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common stock options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336</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179</w:t>
            </w:r>
          </w:p>
        </w:tc>
      </w:tr>
      <w:tr>
        <w:trPr>
          <w:trHeight w:val="196"/>
        </w:trPr>
        <w:tc>
          <w:tcPr>
            <w:tcW w:w="84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183,284</w:t>
            </w:r>
          </w:p>
        </w:tc>
      </w:tr>
      <w:tr>
        <w:trPr>
          <w:trHeight w:val="170"/>
        </w:trPr>
        <w:tc>
          <w:tcPr>
            <w:tcW w:w="8480" w:type="dxa"/>
            <w:vAlign w:val="bottom"/>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7"/>
        </w:trPr>
        <w:tc>
          <w:tcPr>
            <w:tcW w:w="84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equivalents</w:t>
            </w:r>
          </w:p>
        </w:tc>
        <w:tc>
          <w:tcPr>
            <w:tcW w:w="2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7,646</w:t>
            </w:r>
          </w:p>
        </w:tc>
      </w:tr>
      <w:tr>
        <w:trPr>
          <w:trHeight w:val="203"/>
        </w:trPr>
        <w:tc>
          <w:tcPr>
            <w:tcW w:w="8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at beginning of period</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38,308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30,662</w:t>
            </w:r>
          </w:p>
        </w:tc>
      </w:tr>
      <w:tr>
        <w:trPr>
          <w:trHeight w:val="19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at end of period</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38,933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38,308</w:t>
            </w:r>
          </w:p>
        </w:tc>
      </w:tr>
      <w:tr>
        <w:trPr>
          <w:trHeight w:val="20"/>
        </w:trPr>
        <w:tc>
          <w:tcPr>
            <w:tcW w:w="8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7"/>
        </w:trPr>
        <w:tc>
          <w:tcPr>
            <w:tcW w:w="84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r>
      <w:tr>
        <w:trPr>
          <w:trHeight w:val="228"/>
        </w:trPr>
        <w:tc>
          <w:tcPr>
            <w:tcW w:w="8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b w:val="1"/>
                <w:bCs w:val="1"/>
                <w:color w:val="auto"/>
              </w:rPr>
              <w:t>equivalents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37,784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37,159</w:t>
            </w:r>
          </w:p>
        </w:tc>
      </w:tr>
      <w:tr>
        <w:trPr>
          <w:trHeight w:val="203"/>
        </w:trPr>
        <w:tc>
          <w:tcPr>
            <w:tcW w:w="8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restricted cash equivalents</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1,149</w:t>
            </w:r>
          </w:p>
        </w:tc>
      </w:tr>
      <w:tr>
        <w:trPr>
          <w:trHeight w:val="19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38,933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38,308</w:t>
            </w:r>
          </w:p>
        </w:tc>
      </w:tr>
      <w:tr>
        <w:trPr>
          <w:trHeight w:val="20"/>
        </w:trPr>
        <w:tc>
          <w:tcPr>
            <w:tcW w:w="8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1"/>
        </w:trPr>
        <w:tc>
          <w:tcPr>
            <w:tcW w:w="84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Remeasurement of right-of-use asset and lease liability due to lease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modification</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939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131</w:t>
            </w:r>
          </w:p>
        </w:tc>
      </w:tr>
      <w:tr>
        <w:trPr>
          <w:trHeight w:val="204"/>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Series A-1 redeemable convertible preferred stock</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1,803</w:t>
            </w: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 included in accounts payable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409</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 included in accrued expenses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235</w:t>
            </w: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unrealized (loss) gain on marketable securities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Deferred offering costs included in 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205</w:t>
            </w:r>
          </w:p>
        </w:tc>
      </w:tr>
      <w:tr>
        <w:trPr>
          <w:trHeight w:val="203"/>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1,343</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326</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Partner redeemable convertible preferred stock</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-6591300</wp:posOffset>
            </wp:positionV>
            <wp:extent cx="120015" cy="1708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1708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-4237990</wp:posOffset>
            </wp:positionV>
            <wp:extent cx="946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-3715385</wp:posOffset>
            </wp:positionV>
            <wp:extent cx="946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-2660650</wp:posOffset>
            </wp:positionV>
            <wp:extent cx="94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-2266315</wp:posOffset>
            </wp:positionV>
            <wp:extent cx="946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-1589405</wp:posOffset>
            </wp:positionV>
            <wp:extent cx="946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and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Aktis Oncology, Inc. (“Aktis” or the “Company”) was incorporated under the laws of the State of Delaware in August 2020. Its principal office is in Boston, Massachusetts. Aktis Security Corporation, its wholly owned subsidiary, was formed under the laws of the State of Delaware in November 2022. The Company is a clinical-stage oncology company focused on unlocking the breakthrough potential of targeted radiopharmaceuticals for large patient populations not currently addressed by existing technologies. The Company has built a proprietary miniprotein radioconjugate platform that aims to safely confer breakthrough efficacy to a broader range of patient populations.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the outcome of clinical trials, development by competitors of new technological innovations, dependence on key personnel, protection of proprietary technologies, compliance with government regulations, ability to secure additional capital to fund operations, and potential delays associated with the Company’s anticipated and planned trials.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successfully complete the development of, or receive regulatory approval for, any products developed, and if approved, that any products will be commercially viable. Any products resulting from the Company’s current research and development efforts will require significant additional research and development, including extensive preclinical and clinical testing and regulatory approval prior to commercialization. These efforts will require significant amounts of additional capital, adequate personnel, infrastructure, and extensive compliance reporting capabilities. The Company has not generated any revenue from the sale of any products to date. Even if the Company’s product development efforts are successful, it is uncertain when, if ever, the Company will realize significant revenue from product sales.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January 2, 2026, the Company effected a 1-for-3.8044 reverse stock split of its issued and outstanding common stock, which also resulted in a proportional adjustment to the conversion price for each series of its redeemable convertible preferred stock, and to the exercise prices and number of outstanding stock options. The par value and authorized number of shares of common stock and redeemable convertible preferred stock were not adjusted as a result. All share and per share amounts for all periods presented in the consolidated financial statements and notes thereto have been retroactively adjusted to reflect the effect of the reverse stock split.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January 2026, the Company completed its initial public offering ("IPO"), in which the Company sold an aggregate of 17,650,000 shares of its common stock at a public offering price of $18.00 per share and sold an additional 2,647,500 shares of its common stock to the underwriters of the IPO pursuant to the full exercise of their option to purchase additional shares, resulting in aggregate net proceeds of approximately $335.3 million, after deducting underwriter discounts, commissions and other offering expenses. Immediately prior to the closing of the IPO, the Company's outstanding redeemable convertible preferred stock automatically converted into 34,057,218 shares of common stock and 1,872,829 shares of Class A non-voting common stock. Following the closing of the IPO, no shares of redeemable convertible preferred stock were outstanding. In connection with the closing of the IPO, the Company's certificate of incorporation was amended and restated to authorize 480,000,000 shares of common stock, par value $0.0001 per share, 10,000,000 shares of Class A common stock, par value $0.0001 per share and 10,000,000 shares of undesignated preferred stock, par value $0.0001 per share.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(Subtopic 205-40), </w:t>
      </w:r>
      <w:r>
        <w:rPr>
          <w:rFonts w:ascii="Times New Roman" w:cs="Times New Roman" w:eastAsia="Times New Roman" w:hAnsi="Times New Roman"/>
          <w:sz w:val="18"/>
          <w:szCs w:val="18"/>
          <w:color w:val="auto"/>
        </w:rPr>
        <w:t>the Company has evaluated whether there are conditions and events that raise substantial doubt about the Company’s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as a going concern within one year after the date the consolidated financial statements are issued. The accompanying consolidated financial statements have been prepared on a going-concern basis, which contemplates the realization of assets and satisfaction of liabilities in the normal course of business.</w:t>
      </w:r>
    </w:p>
    <w:p>
      <w:pPr>
        <w:spacing w:after="0" w:line="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the Company's inception, the Company has primarily funded its operations with proceeds from the issuance of common stock and redeemable convertible preferred stock (see Note 7) and upfront payments upon entering into a Research and Collaboration Agreement (the "Collaboration Agreement") with Eli Lilly and Company ("Eli Lilly") (see Note 12). As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2025, the Company has raised an aggregate of $345.5 million in net proceeds through the sale of redeemable convertible preferred stock and received $60.0 million in upfront payments and $1.0 million from the achievement of the first milestone under the Collaboration Agreement with Eli Lilly. The Company has incurred losses since inception, including net losses of $63.7 million and $44.0 million for the years ended December 31, 2025 and 2024, respectively. As of December 31, 2025, the Company had an accumulated deficit of $156.6 million.</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the twelve months after the date that these consolidated financial statements are issued. The Company believes that its existing cash, cash equivalents and marketable securities of $226.8 million as of December 31, 2025, together with the additional proceeds received from the IPO, will be sufficient to allow the Company to fund operations at least twelve months from the date that the financial statements are issued.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The accompanying consolidated financial statements include the accounts of the Company’s wholly-owned subsidiary, Aktis Security Corporation. All intercompany balances and transactions have been eliminated in consolidation. Any reference in these notes to applicable guidance is meant to refer to the authoritative GAAP as found in the Accounting Standards Codification (“ASC”) and ASUs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related disclosures of contingent liabilities as of the date of the consolidated financial statements as well as the reported amounts of expenses during the reporting period. Actual results could differ from those estimates. Management considers many factors in selecting appropriate financial accounting policies in developing the estimates and assumptions that are used in the preparation of the consolidated financial statements. Management must apply significant judgment in this process. Estimates are based on several factors including the facts and circumstances available at the time the estimates are made, historical experience, risk of loss, general economic conditions and trends, and the assessment of the probable future outcome. Estimates are used in the following areas, among others: revenue recognition, determining the fair value of the Company’s common stock; determination of accrued expenses, and research and development expenses, and valuation allowance for deferred tax assets. Additionally, in calculating the right-of-use assets and lease liabilities, estimates and assumptions were used to determine the incremental borrowing rates and expected lease terms. Estimates and assumptions are reviewed periodically and the effects of changes, if any, are reflected in the consolidated statements of operations and comprehensive loss in the period that they are determined.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(“CODM”), in deciding how to allocate resources and assess performance. The Company has one operating segment focused on the research and development of targeted radiopharmaceuticals. The Company’s CODM, its President and Chief Executive Officer ("CEO"), manages its operations on a consolidated basis for the purpose of allocating resources. As of December 31, 2025 and 2024, all of the Company's long-lived assets are held in the United States and, for the years ended December 31, 2025 and 2024, all of the Company’s revenue is derived from the United States.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Comprehensive loss is composed of net loss and other comprehensive (loss) income. Other comprehensive (loss) income consists of unrealized gains on marketable securities.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primarily of demand deposit accounts and deposits in short-term money market funds. Cash equivalents are stated at cost, which approximates fair value. The Company considers all highly liquid investments with maturities of three months or less from the date of purchase to be cash equivalents.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equivalents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Restricted cash equivalents are comprised of cash equivalents that are restricted as to withdrawal or use under the terms of certain contractual agreements. Restricted cash equivalents are used as collateral for letters of credit issued by banks related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Company’s operating leases and laboratory decommissioning commitment and are considered a non-current asset on the consolidated balance sheets.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Marketable securities are composed of U.S. treasury bills, corporate debt securities, commercial paper and agency bonds with maturities of less than one year from the balance sheet date. The Company determines the appropriate classification of marketable securities at the time of purchase and reevaluates such designation at each balance sheet date. The Company classifies all of its marketable securities as available-for-sale pursuant to ASC 320, </w:t>
      </w:r>
      <w:r>
        <w:rPr>
          <w:rFonts w:ascii="Times New Roman" w:cs="Times New Roman" w:eastAsia="Times New Roman" w:hAnsi="Times New Roman"/>
          <w:sz w:val="18"/>
          <w:szCs w:val="18"/>
          <w:i w:val="1"/>
          <w:iCs w:val="1"/>
          <w:color w:val="auto"/>
        </w:rPr>
        <w:t xml:space="preserve">Investments–Debt and Equity Securities. </w:t>
      </w:r>
      <w:r>
        <w:rPr>
          <w:rFonts w:ascii="Times New Roman" w:cs="Times New Roman" w:eastAsia="Times New Roman" w:hAnsi="Times New Roman"/>
          <w:sz w:val="18"/>
          <w:szCs w:val="18"/>
          <w:color w:val="auto"/>
        </w:rPr>
        <w:t>The Company records available-for-sale securities at fair value with unrealized gains and losses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The cost of marketable securities is adjusted for amortization of premiums and accretion of discounts until maturity. Such amortization and accretion, along with any interest income received, are included in interest income, which is a component of other income (expense). Realized gains and losses are included in other expense, net. The Company reviews any investment when its fair value is less than its amortized cost and when evidence indicates that the investment’s carrying amount is not recoverable within a reasonable period.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exists and if the present value of cash flows expected to be collected is less than the amortized cost basis, an allowance for credit losses is recorded on its consolidated balance sheets, limited by the amount that the fair value is less than the amortized cost basis. Any impairment that is not related to a credit loss is recognized in other comprehensive (loss) income.</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a provision for (or reversal of) credit loss. Losses are charged against the allowance for credit losses when the Company believes the uncollectibility of an investment is confirmed or when the Company intends to sell, or more likely than not will be required to sell the security before recovery of its amortized cost basis.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evaluates marketable securities for other-than-temporary impairment at the balance sheet dates. Declines in fair value, if any, determined to be other than temporary are also included in other income (expense).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and marketable securities. The Company places its cash, cash equivalents and marketable securities in financial institutions that management believes to be of high credit quality, and accordingly, the Company believes such funds are subject to minimal credit risk. The Company maintains its cash in bank deposit accounts that at times exceed federally insured limits. The Company has not experienced any losses on such accounts and does not believe it is exposed to any unusual credit risk beyond the normal credit risk associated with commercial banking relationships.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recorded using the straight-line method over the estimated useful lives of the respective assets. Expenditures for maintenance and repairs are charged to expense while the costs of significant improvements are capitalized. Upon retirement or sale, the costs of the assets disposed of and the related accumulated depreciation or amortization is eliminated from the consolidated balance sheets and any related gains or losses are reflected in the consolidated statements of operations and comprehensive loss. The range of useful lives of property and equipment is as follows: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400" w:type="dxa"/>
            <w:vAlign w:val="bottom"/>
            <w:tcBorders>
              <w:top w:val="single" w:sz="8" w:color="auto"/>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4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&amp; furniture</w:t>
            </w:r>
          </w:p>
        </w:tc>
        <w:tc>
          <w:tcPr>
            <w:tcW w:w="5400" w:type="dxa"/>
            <w:vAlign w:val="bottom"/>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4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0" w:type="dxa"/>
            <w:vAlign w:val="bottom"/>
            <w:shd w:val="clear" w:color="auto" w:fill="CFF0FC"/>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The shorter of the life of the leasehold improvement or the remaining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vMerge w:val="continue"/>
            <w:shd w:val="clear" w:color="auto" w:fill="CFF0FC"/>
          </w:tcPr>
          <w:p>
            <w:pPr>
              <w:spacing w:after="0"/>
              <w:rPr>
                <w:sz w:val="10"/>
                <w:szCs w:val="10"/>
                <w:color w:val="auto"/>
              </w:rPr>
            </w:pPr>
          </w:p>
        </w:tc>
        <w:tc>
          <w:tcPr>
            <w:tcW w:w="5400" w:type="dxa"/>
            <w:vAlign w:val="bottom"/>
            <w:vMerge w:val="restart"/>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8"/>
              </w:rPr>
              <w:t>term of the lease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shd w:val="clear" w:color="auto" w:fill="CFF0FC"/>
          </w:tcPr>
          <w:p>
            <w:pPr>
              <w:spacing w:after="0"/>
              <w:rPr>
                <w:sz w:val="9"/>
                <w:szCs w:val="9"/>
                <w:color w:val="auto"/>
              </w:rPr>
            </w:pPr>
          </w:p>
        </w:tc>
        <w:tc>
          <w:tcPr>
            <w:tcW w:w="54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the asset may not be recoverable. When such events occur, the Company compares the carrying amounts of the assets to their undiscounted expected future cash flows. If the undiscounted cash flows are insufficient to recover the carrying value, the assets are recorded at the lesser of the carrying value or fair value. To date, the Company has not recorded any impairment losses on long-lived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Patent-related costs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comprehensive loss.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Valuation techniques used to measure fair value require the Company to maximize the use of observable inputs and minimize the use of unobservable inputs. The hierarchy gives the highest priority to unadjusted quoted prices in active markets for identical assets or liabilities (Level 1 measurements) and the lowest priority to unobservable inputs (Level 3 measurements).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2"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restricted cash equivalents, marketable securities, other current assets, accounts payable, and accrued expenses and other current liabilities. The Company’s marketable securities are carried at fair value, determined according to Level 1 and Level 2 inputs to the fair value hierarchy described above. Preferred stock warrant liabilities are measured at fair value on a recurring basis utilizing a hybrid approach (see Note 3). The remaining financial instruments are stated at their respective carrying amounts, which approximate fair value due to the short-term nature of these assets and liabilities.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consist principally of personnel costs including employee payroll and stock-based compensation, consumable laboratory materials and supplies, contracted external laboratory services and facility costs including allocated overhead such as rent, depreciation, utilities and maintenance expense, license and milestones fees, and other related costs.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The payments under these contracts are recorded as research and development expenses as incurred. The Company records accrued expenses for estimated ongoing research costs. When evaluating the adequacy of the accrued liabilities, the Company analyzes progress of its research and development studies, including the phase or completion of events, invoices received and contracted costs.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while those acquired that have no alternative future use as of the acquisition date are recognized as research and development expense as of the acquisition date. The Company will recognize additional research and development expenses in the future if and when the Company becomes obligated to make contingent milestone payments under the terms of the agreements by which it acquired the IPR&amp;D assets. Contingent consideration in the form of milestone payments related to IPR&amp;D with no alternative future use is charged to expense when the related milestone is achieved and becomes payable.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8" w:name="page129"/>
    <w:bookmarkEnd w:id="128"/>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under the provisions of ASC 718-10,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718-10”), which requires all stock-based payments (such as grants of stock options and restricted stock) to employees, non-employees and directors, to be recognized in the consolidated statements of operations and comprehensive loss based on their fair values on the date of grant over the requisite service period, which is generally the vesting period of the respective award. Forfeitures are accounted for as they occur. Generally, the Company issues stock option awards with only service-based vesting conditions and records the expense for these awards using the straight-line method. The Company classifies stock-based compensation expenses in the same manner in which the awards recipient’s payroll or service provider’s costs are classified.</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each restricted stock award is estimated on the date of grant based on the fair value of the Company’s common stock on that same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Black-Scholes option pricing model ("Black-Scholes"), which requires inputs based on certain subjective assumptions, including the expected stock price volatility, the expected term of the award, the risk-free interest rate, and expected dividends. The Company estimates its expected stock price volatility based on the historical volatility of publicly traded peer companies. The Company uses the simplified method as prescribed by the Securities and Exchange Commission’s Staff Accounting Bulletin No. 107,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to calculate the expected term for stock options granted to employees as the Company does not have sufficient historical exercise data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reasonable basis upon which to estimate the expected term. The risk-free interest rate is determined by reference to the U.S. Treasury yield curve in effect at the time of grant of the award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Prior to the Company's IPO, the fair value of the Company's common stock on the date of grant was determined by the Company’s Board of Directors (the "Board"), taking into consideration its most recently available third-party valuations of common stock as well as additional factors which may have changed since the date of the most recent contemporaneous valuation through the grant date.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classified its redeemable convertible preferred stock as temporary equity in the accompanying consolidated balance sheets due to redemption provisions related to a change in control event that are outside of the control of the Company (see Note 7). The Company did not accrete the carrying values of the redeemable convertible preferred stock to the redemption values since a change in control event was not considered probable at period end. Subsequent adjustments of the carrying values to the redemption values will be made only when it becomes probable that such a change in control event will occur.</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enters into, from time to time, financial instrument agreements in which a derivative instrument is “embedded”. Upon issuing the financial instrument, the Company assesses whether the economic characteristics of the embedded derivative instrument are clearly and closely related to the economic characteristics of the host contract and whether a separate, instrument with the same terms as the embedded derivative instrument would meet the definition of a derivative instrument.</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When it is determined that (1) the embedded derivative instrument possesses economic characteristics that are not clearly and closely related to the economic characteristics of the host contract and (2) a separate instrument with the same terms would qualify as a derivative instrument, the embedded derivative instrument is separated from the host contract and carried at fair value with any changes in fair value recorded in current period earnings.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represent future tax consequences of temporary differences between the consolidated financial statement carrying amounts and the tax basis of assets and liabilities and for loss carryforwards using enacted tax rates expected to be in effect in the years in which the differences reverse. A valuation allowance is established to reduce deferred tax assets to the amounts expected to be realized. The Company also recognizes a tax benefit from uncertain tax positions only if it is “more likely than not” that the position is sustainable based on its technical merits. The Company accounts for interest and penalties related to uncertain tax positions as part of its provision for income taxes. To date, the Company has not incurred interest and penalties related to uncertain tax positions.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loss contingencies when losses become probable and are reasonably estimable. If the reasonable estimate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18"/>
          <w:szCs w:val="18"/>
          <w:color w:val="auto"/>
        </w:rPr>
        <w:t>the loss is a range and no amount within the range is a better estimate, the minimum amount of the range is recorded as a liability on the Company’s consolidated balance sheets. The Company does not accrue contingent losses that, in its judgment, are considered to be reasonably possible, but not probable; however, it discloses the range of reasonably possible losses. There were no loss contingencies recorded in the Company’s consolidated financial statements for the years ended December 31, 2025 and 2024.</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or “ASC 842”). At the inception of an arrangement, the Company determines whether the arrangement is or contains a lease. A contract is or contains a lease if the contract conveys the right to control the use of an identified asset for a period of time in exchange for consideration. 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consolidated balance sheet if the lease has a term greater than one year. As permitted under ASC 842, the Company has made an accounting policy election, for all classes of underlying assets, to not recognize ROU assets and lease liabilities for leases having a term of twelve months or less. When it determines the lease term, the Company considers the committed lease term and any options available in the lease agreement. The Company’s lease terms may include options to extend the lease, or the option to purchase the asset, only when it is reasonably certain that the Company will exercise that option.</w:t>
      </w:r>
    </w:p>
    <w:p>
      <w:pPr>
        <w:spacing w:after="0" w:line="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include costs that do not provide a right to use a leased asset but instead provide a service, such as maintenance costs. In accordance with ASC 842, the Company has elected to combine the lease and non-lease components together as a single lease component for all existing classes of underlying assets. Lease cost for operating leases is recognized on a straight-line basis over the lease term as an operating expense on the consolidated statements of operations and comprehensive loss. For finance leases, amortization expense and interest expense are recognized separately in the consolidated statements of operations, and comprehensive loss with amortization expense recognized on a straight-line basis and interest expense recognized using the effective interest method. Variable costs associated with the lease, such as maintenance and utilities, are not included in the measurement of right-to-use assets and lease liabilities but rather are expensed when the events determining the amount of variable consideration to be paid have occurred.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which includes warrants, outstanding stock options, and redeemable convertible preferred stock.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by the weighted-average number of common shares outstanding during the period. Diluted net loss attributable to common stockholders is computed by adjusting net loss attributable to common stockholders to reallocate undistributed earnings based on the potential impact of diluted securities and dividing the resulting amount by the weighted-average number of common shares outstanding for the period, including potential dilutive common shares. For the purpose of this calculation, warrants, outstanding stock options, and redeemable convertible preferred stock are considered potential dilutive common shares.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redeemable convertible preferred stock contractually entitles the holders of such shares to participate in dividends but does not contractually require those holders to participate in losses of the Company. Accordingly, in periods in which the Company reports a net loss attributable to common stockholders,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the ability to use the extended transition period for complying with new or revised accounting standards. As a result of this election, the Company’s consolidated financial statements may not be comparable to companies that comply with public company FASB standards’ effective dates. The Company intends to take advantage of the reduced reporting requirements and exemptions up until the last day of the fiscal year following the fifth anniversary of an offering or such earlier time that it is no longer an EGC.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incremental and directly associated with in-process equity financings as deferred offering costs until such financing is consummated. After consummation of the equity financing, these costs are recorded as a reduction of the proceeds generated as a result of the offering within additional paid in capital. In the event that the equity financing is abandoned, the deferred offering costs will be expensed immediately as a charge to operating expenses in the statements of operations and comprehensive loss. The Company recorded deferred offering costs related to the IPO of $4.5 million and $2.1 million within other assets as of December 31, 2025 and 2024.</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enters into license and collaboration arrangements with third parties, under which the Company licenses or may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license and collaboration arrangements to assess whether such arrangements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arrangements within the scope of ASC 808 that contain multiple units of account, the Company first determines which units of the arrangements are deemed to be within the scope of ASC 808 and which units of the arrangements are more reflective of a vendor-customer relationship and, therefore,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Contracts are considered to be collaborative arrangements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For elements of collaboration arrangements that are accounted for pursuant to ASC 808, an appropriate recognition method is determined and applied consistently, either by analogy to authoritative accounting literature or by applying a reasonable and rational policy election.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provides a five-step framework whereby revenue is recognized when control of promised goods or services is transferred to a customer at an amount that reflects the consideration to which the Company expects to be entitled. To determine the appropriate amount of revenue to be recognized on a contract, the Company performs the following five steps: (i) identification of the contract(s) with a customer; (ii) identification of the promised goods and services in the contract and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once the contract is determined to be within scope of ASC 606 and when the Company determines that collection of substantially all consideration for goods and services that are transferred is probable based on the customer's intent and ability to pay the promised consideration.</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promised goods or services in the Company’s contracts typically consist of a grant of a license to the Company’s intellectual property and provision of research and development services. The Company provides options to additional items in such contracts,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To the extent the transaction price includes variable consideration, including research, development, clinical, regulatory and sales-based milestone payments,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recognized under the contract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not occur. Any estimates, including the effect of the constraint on variable consideration, are evaluated at each reporting period for any changes.</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relates to that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contracts often include development and regulatory milestone payments, which are variable considerations, that are assessed under the most likely amount method and constrained until it is probable that a significant revenue reversal would not occur. Due to the uncertainty of development and regulatory based milestones that are not within the control of the Company, payment becomes probable upon achievement. At the end of each reporting period, the Company re-evaluates the probability of achievement of such development and regulatory milestones and any related constraint, and if necessary, adjusts its estimate of the overall transaction price. Any such adjustments are recorded on a cumulative catch-up basis, which would affect collaboration revenue in the period of adjustment.</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granted is deemed to be the predominant item to which the royalties relate, the Company recognizes revenue at the later of (i) when the related sales occur, or (ii) when the performance obligation related to the royalty, has been satisfied (or partially satisfied). To date, the Company has not recognized any royalty revenue resulting from any of the Company’s license and collaboration agreements.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 or other receivable. A contract asset represents the Company's right to consideration in exchange for goods or services that the Company has transferred to a customer. The contract liabilities, or deferred revenue, relate to contracts where the Company has received payment, but it has not yet satisfied or fully satisfied the related performance obligations. Upfront payments and fees are recorded as deferred revenue upon receipt and may require deferral of revenue recognition to a future period until the Company satisfies its obligations under the contracts. Upfront payment contract liabilities resulting from the Company’s license and collaboration agreements do not include a financing component as the payment is not financing the transfer of goods or services, and the technology underlying the licenses granted reflects research and development expenses already incurred by the Company.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("ASU 2023-09"). ASU 2023-09 provides more transparency about income tax information through improvements to income tax disclosures primarily related to the rate reconciliation and income taxes paid information. For public and private companies, the amendments are effective for annual periods beginning after December 15, 2024, and 2025, respectively, with retrospective application permitted. The Company adopted the standard effective January 1, 2025 on a prospective basis. See Note 10, Income taxes, for further disclosure.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("ASU 2024-03"). ASU 2024-3 requires disclosure of additional information about specific expense categories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on an interim and annual basis. The standard is effective for fiscal years beginning after December 15, 2026, and for interim periods beginning after December 15, 2027, with prospective or retrospective application and early adoption permitted. The Company is currently evaluating the disclosure requirements related to this new standard.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financial assets and liabilities carried at fair value on a recurring basis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10"/>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209"/>
        </w:trPr>
        <w:tc>
          <w:tcPr>
            <w:tcW w:w="5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37,284</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55,292</w:t>
            </w:r>
          </w:p>
        </w:tc>
      </w:tr>
      <w:tr>
        <w:trPr>
          <w:trHeight w:val="216"/>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87,973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87,973</w:t>
            </w: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18,529</w:t>
            </w:r>
          </w:p>
        </w:tc>
      </w:tr>
      <w:tr>
        <w:trPr>
          <w:trHeight w:val="216"/>
        </w:trPr>
        <w:tc>
          <w:tcPr>
            <w:tcW w:w="5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Agency bonds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27,209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27,209</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189,003</w:t>
            </w: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101,030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227,436</w:t>
            </w: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-453390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-453390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10"/>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r>
      <w:tr>
        <w:trPr>
          <w:trHeight w:val="210"/>
        </w:trPr>
        <w:tc>
          <w:tcPr>
            <w:tcW w:w="5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36,659</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93,765</w:t>
            </w:r>
          </w:p>
        </w:tc>
      </w:tr>
      <w:tr>
        <w:trPr>
          <w:trHeight w:val="216"/>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116,311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116,311</w:t>
            </w: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15,025</w:t>
            </w:r>
          </w:p>
        </w:tc>
      </w:tr>
      <w:tr>
        <w:trPr>
          <w:trHeight w:val="216"/>
        </w:trPr>
        <w:tc>
          <w:tcPr>
            <w:tcW w:w="5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Agency bonds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34,908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34,908</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260,009</w:t>
            </w: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154,119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297,817</w:t>
            </w: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-453390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-453390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or reclassifications between fair value measurement levels of financial assets. The carrying values of prepaid expenses and other current assets, accounts payable and accrued expenses and other current liabilities approximate their fair values due to the short-term nature of these assets and liabilities. The Company had no other financial liabilities for the periods presented above.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Valuation of marketable securities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classifies its treasury bills as Level 1 assets under the fair value hierarchy, as these securities have been valued using quoted market prices for identical assets in active markets without any valuation adjustment. The Company classifies its commercial paper, corporate debt securities, and agency bonds as Level 2 assets under the fair value hierarchy, as these assets have been valued using quoted prices in active markets for similar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Company’s security portfolio consisted of 56 securities and 49 securities, respectively, related to marketable securities in debt securities available-for-sale, of which there were 10 securities in unrealized loss positions as of December 31, 2025 and 2024. There were no securities in an unrealized loss position for greater than 12 months as of December 31, 2025 or 2024. The Company does not intend to sell the marketable securities prior to the value of the securities being recovered and it is not more likely than not that the Company will be required to sell the marketable securities before recovery of their amortized cost basis. The Company did not record an allowance for credit losses as of December 31, 2025 or 2024. Accrued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spacing w:after="0" w:line="282" w:lineRule="auto"/>
        <w:rPr>
          <w:sz w:val="20"/>
          <w:szCs w:val="20"/>
          <w:color w:val="auto"/>
        </w:rPr>
      </w:pPr>
      <w:r>
        <w:rPr>
          <w:rFonts w:ascii="Times New Roman" w:cs="Times New Roman" w:eastAsia="Times New Roman" w:hAnsi="Times New Roman"/>
          <w:sz w:val="18"/>
          <w:szCs w:val="18"/>
          <w:color w:val="auto"/>
        </w:rPr>
        <w:t>interest receivable relating to the Company’s available-for-sale securities is presented within prepaid expenses and other current assets in the accompanying consolidated balance sheets, and amounted to $1.1 million as of December 31, 2025 and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gridSpan w:val="13"/>
          </w:tcPr>
          <w:p>
            <w:pPr>
              <w:jc w:val="center"/>
              <w:ind w:right="450"/>
              <w:spacing w:after="0"/>
              <w:rPr>
                <w:sz w:val="20"/>
                <w:szCs w:val="20"/>
                <w:color w:val="auto"/>
              </w:rPr>
            </w:pPr>
            <w:r>
              <w:rPr>
                <w:rFonts w:ascii="Times New Roman" w:cs="Times New Roman" w:eastAsia="Times New Roman" w:hAnsi="Times New Roman"/>
                <w:sz w:val="18"/>
                <w:szCs w:val="18"/>
                <w:color w:val="auto"/>
                <w:w w:val="99"/>
              </w:rPr>
              <w:t>Marketable securities, which are classified as available-for-sale, consisted of the following (in thousands):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Borders>
              <w:lef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34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Borders>
              <w:lef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Borders>
              <w:lef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259,885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tcBorders>
              <w:lef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12,149</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8,274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2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&amp; furniture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2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20,140</w:t>
            </w:r>
          </w:p>
        </w:tc>
        <w:tc>
          <w:tcPr>
            <w:tcW w:w="120" w:type="dxa"/>
            <w:vAlign w:val="bottom"/>
            <w:shd w:val="clear" w:color="auto" w:fill="CFF0FC"/>
          </w:tcPr>
          <w:p>
            <w:pPr>
              <w:spacing w:after="0"/>
              <w:rPr>
                <w:sz w:val="18"/>
                <w:szCs w:val="18"/>
                <w:color w:val="auto"/>
              </w:rPr>
            </w:pPr>
          </w:p>
        </w:tc>
        <w:tc>
          <w:tcPr>
            <w:tcW w:w="18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10,527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(3,229)</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left w:val="single" w:sz="8" w:color="CFF0FC"/>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7,298</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-3830955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-3814445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-3830955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-3814445</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-3830955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-3814445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-3830955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-3814445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-2477135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-2459355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-2477135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-2459355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-2477135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-2459355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-2477135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-2459355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recorded depreciation expense of $2.3 million and $1.6 million for the years ended December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 costs</w:t>
            </w:r>
          </w:p>
        </w:tc>
        <w:tc>
          <w:tcPr>
            <w:tcW w:w="19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costs</w:t>
            </w:r>
          </w:p>
        </w:tc>
        <w:tc>
          <w:tcPr>
            <w:tcW w:w="8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0"/>
        </w:trPr>
        <w:tc>
          <w:tcPr>
            <w:tcW w:w="1540" w:type="dxa"/>
            <w:vAlign w:val="bottom"/>
          </w:tcPr>
          <w:p>
            <w:pPr>
              <w:spacing w:after="0"/>
              <w:rPr>
                <w:sz w:val="21"/>
                <w:szCs w:val="21"/>
                <w:color w:val="auto"/>
              </w:rPr>
            </w:pPr>
          </w:p>
        </w:tc>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80" w:type="dxa"/>
            <w:vAlign w:val="bottom"/>
            <w:shd w:val="clear" w:color="auto" w:fill="CFF0FC"/>
          </w:tcPr>
          <w:p>
            <w:pPr>
              <w:spacing w:after="0"/>
              <w:rPr>
                <w:sz w:val="21"/>
                <w:szCs w:val="21"/>
                <w:color w:val="auto"/>
              </w:rPr>
            </w:pPr>
          </w:p>
        </w:tc>
        <w:tc>
          <w:tcPr>
            <w:tcW w:w="1520" w:type="dxa"/>
            <w:vAlign w:val="bottom"/>
          </w:tcPr>
          <w:p>
            <w:pPr>
              <w:spacing w:after="0"/>
              <w:rPr>
                <w:sz w:val="21"/>
                <w:szCs w:val="21"/>
                <w:color w:val="auto"/>
              </w:rPr>
            </w:pPr>
          </w:p>
        </w:tc>
      </w:tr>
      <w:tr>
        <w:trPr>
          <w:trHeight w:val="628"/>
        </w:trPr>
        <w:tc>
          <w:tcPr>
            <w:tcW w:w="154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F-16</w:t>
            </w: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520" w:type="dxa"/>
            <w:vAlign w:val="bottom"/>
          </w:tcPr>
          <w:p>
            <w:pPr>
              <w:spacing w:after="0"/>
              <w:rPr>
                <w:sz w:val="24"/>
                <w:szCs w:val="24"/>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-933450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-916305</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7. Redeemable convertible preferred stock</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5,000,000 shares of Series Seed redeemable convertible preferred stock (the "Series Seed Preferred Stock") for total net proceeds of $5.0 million pursuant to the Series Seed Preferred Stock Purchase Agreement (the “Series Seed Agreement”) between the Company and certain investors.</w:t>
      </w:r>
    </w:p>
    <w:p>
      <w:pPr>
        <w:spacing w:after="0" w:line="6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February 2021, the Company entered into the first Series A Preferred Stock Purchase Agreement (the “First Series A Agreement”) which provided for the purchase of Series A redeemable convertible preferred stock (the "Series A Preferred Stock"). The Company in the initial closing of Series A Preferred Stock issued 18,000,000 shares for net proceeds of approximately $35.9 million. The First Series A Agreement granted investors the right to purchase an additional 18,000,000 shares of Series A Preferred Stock at a price of $2.00 per share (the "Preferred Stock Tranche Right") upon the earlier of</w:t>
      </w:r>
    </w:p>
    <w:p>
      <w:pPr>
        <w:spacing w:after="0" w:line="3" w:lineRule="exact"/>
        <w:rPr>
          <w:sz w:val="20"/>
          <w:szCs w:val="20"/>
          <w:color w:val="auto"/>
        </w:rPr>
      </w:pPr>
    </w:p>
    <w:p>
      <w:pPr>
        <w:jc w:val="both"/>
        <w:ind w:right="20" w:firstLine="8"/>
        <w:spacing w:after="0" w:line="260" w:lineRule="auto"/>
        <w:tabs>
          <w:tab w:leader="none" w:pos="2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a milestone event, which is when the Company identifies at least one molecule that meets the criteria for lead nomination or (ii) a waiver of such condition by holders of sixty five percent of the Preferred Shares then issued and outstanding (the “Milestone Closing”) prior to February 26, 2023.</w:t>
      </w:r>
    </w:p>
    <w:p>
      <w:pPr>
        <w:spacing w:after="0" w:line="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determined that the Preferred Stock Tranche Right was a freestanding instrument as it was both legally detachable and separately exercisable. The initial fair value of the Preferred Stock Tranche Right was determined to be $10.8 million and was extinguished in January 2022 upon the Milestone Closing, which resulted in 18,000,000 shares of Series A Preferred Stock being issued to the investors for net proceeds of approximately $35.9 million.</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August 2022, the Company entered into a second Series A Preferred Stock Purchase Agreement (the "Second Series A Agreement") and issued an additional 42,067,500 shares of Series A Preferred Stock for net proceeds of approximately $84.0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May 2024, the Preferred Stock Warrants were exercised for nominal consideration and the Company issued 250,000 shares of Partner Preferred Stock.</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May 2024, the Company entered into the Series A-1 Preferred Stock Purchase Agreement (the "Series A-1 Agreement") in connection with the Collaboration Agreement that the Company entered into with Eli Lilly (see Note 12). Under the Series A-1 Agreement, the Company issued 2,500,000 shares of Series A-1 redeemable convertible preferred stock (the "Series A-1 Preferred Stock") at $4.00 per share for gross proceeds of $10.0 million. The Company determined the fair value of the shares sold under this transaction to be $8.2 million with the excess consideration received being included in the transaction price of the Collaboration Agreement.</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September 2024, the Company entered into the Series B Preferred Stock Purchase Agreement (the "Series B Agreement"), which resulted in the issuance of 43,750,000 shares of Series B redeemable convertible preferred stock ("Series B Preferred Stock", together with the Series Seed Preferred Stock, Series A Preferred Stock, Series A-1 Preferred Stock and Partner Preferred Stock, the "Preferred Stock") at $4.00 per share for net proceeds of approximately $174.7 million.</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Preferred Stock consisted of the following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Issued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Issuable Upon</w:t>
            </w:r>
          </w:p>
        </w:tc>
      </w:tr>
      <w:tr>
        <w:trPr>
          <w:trHeight w:val="238"/>
        </w:trPr>
        <w:tc>
          <w:tcPr>
            <w:tcW w:w="384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20" w:type="dxa"/>
            <w:vAlign w:val="bottom"/>
          </w:tcPr>
          <w:p>
            <w:pPr>
              <w:spacing w:after="0"/>
              <w:rPr>
                <w:sz w:val="20"/>
                <w:szCs w:val="20"/>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1,314,262</w:t>
            </w: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78,067,500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78,067,500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20,520,285</w:t>
            </w:r>
          </w:p>
        </w:tc>
        <w:tc>
          <w:tcPr>
            <w:tcW w:w="12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657,133</w:t>
            </w: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11,499,825</w:t>
            </w:r>
          </w:p>
        </w:tc>
        <w:tc>
          <w:tcPr>
            <w:tcW w:w="120" w:type="dxa"/>
            <w:vAlign w:val="bottom"/>
          </w:tcPr>
          <w:p>
            <w:pPr>
              <w:spacing w:after="0"/>
              <w:rPr>
                <w:sz w:val="18"/>
                <w:szCs w:val="18"/>
                <w:color w:val="auto"/>
              </w:rPr>
            </w:pPr>
          </w:p>
        </w:tc>
      </w:tr>
      <w:tr>
        <w:trPr>
          <w:trHeight w:val="216"/>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 Preferred Stock</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129,567,500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129,567,500</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34,057,218</w:t>
            </w:r>
          </w:p>
        </w:tc>
        <w:tc>
          <w:tcPr>
            <w:tcW w:w="1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F-17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-1079500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-1079500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-1079500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-1079500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Issued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Issuable Upon</w:t>
            </w:r>
          </w:p>
        </w:tc>
      </w:tr>
      <w:tr>
        <w:trPr>
          <w:trHeight w:val="238"/>
        </w:trPr>
        <w:tc>
          <w:tcPr>
            <w:tcW w:w="384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20" w:type="dxa"/>
            <w:vAlign w:val="bottom"/>
          </w:tcPr>
          <w:p>
            <w:pPr>
              <w:spacing w:after="0"/>
              <w:rPr>
                <w:sz w:val="20"/>
                <w:szCs w:val="20"/>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1,314,262</w:t>
            </w: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78,067,500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78,067,500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20,520,285</w:t>
            </w:r>
          </w:p>
        </w:tc>
        <w:tc>
          <w:tcPr>
            <w:tcW w:w="12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657,133</w:t>
            </w: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11,499,825</w:t>
            </w:r>
          </w:p>
        </w:tc>
        <w:tc>
          <w:tcPr>
            <w:tcW w:w="120" w:type="dxa"/>
            <w:vAlign w:val="bottom"/>
          </w:tcPr>
          <w:p>
            <w:pPr>
              <w:spacing w:after="0"/>
              <w:rPr>
                <w:sz w:val="18"/>
                <w:szCs w:val="18"/>
                <w:color w:val="auto"/>
              </w:rPr>
            </w:pPr>
          </w:p>
        </w:tc>
      </w:tr>
      <w:tr>
        <w:trPr>
          <w:trHeight w:val="216"/>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 Preferred Stock</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129,567,500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129,567,500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34,057,218</w:t>
            </w:r>
          </w:p>
        </w:tc>
        <w:tc>
          <w:tcPr>
            <w:tcW w:w="1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-170815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the holders of the Preferred Stock have the following rights and preferences: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Holders of the Preferred Stock are entitled to one vote with the common stockholders on an as-converted basis at all meetings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Holders of outstanding shares of Preferred Stock are entitled to non-cumulative dividends at a rate of 8% of the Original Issue Price per share, per annum, payable if, and when declared by the Board of Directors (the "Board"). The Original Issue Price is $1.00 per share for Series Seed Preferred Stock, $2.00 per share for Partner Preferred Stock and Series A Preferred Stock, and $4.00 per share for Series A-1 Preferred Stock and Series B Preferred Stock subject to appropriate adjustment in the event of any stock dividend, stock split, or other similar recapitalization with respect to the Preferred Stock. Holders of the Preferred Stock participate in any dividends payable to common shareholders on an as-converted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upon the occurrence of a Deemed Liquidation Event (defined below), the holders of shares of the Series A Preferred Stock, Series A-1 Preferred Stock and Series B Preferred Stock are entitled to preferential payments, in an amount calculated as the greater of (i) the applicable Original Issue Price, plus dividends declared but unpaid and (ii) the amount payable with respect to such share as if it was converted to common stock immediately prior to settlement (the “Preferred Stock Liquidation Amount”). After payments due to holders of Series A Preferred Stock, Series A-1 Preferred Stock and Series B Preferred Stock, the holders of Series Seed Preferred Stock will be paid out the Preferred Stock Liquidation Amount. Subsequent to the payment to the holders of Series Seed Preferred Stock, the holders of the Partner Preferred Stock will be paid out the Preferred Stock Liquidation Amount.</w:t>
      </w:r>
    </w:p>
    <w:p>
      <w:pPr>
        <w:spacing w:after="0" w:line="8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 "Deemed Liquidation Event" is defined as (i) a merger or consolidation, or (ii) (1) the sale, lease transfer, exclusive license or other disposition in a single transaction or series of related transactions of all assets of the Company, or (2) the sale or disposition of one or more subsidiaries of the Company if substantially all of the assets of the Company and its subsidiaries taken as a whole are held by such subsidiary or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share of the Preferred Stock may convert, at any time, into shares of common stock at the Conversion Price. The Conversion Price is equal to the original issue price, subject to adjustments, resulting in an initial conversion ratio of 1:1. The Preferred Stock will automatically convert into common stock at the then effective conversion price upon (a) a qualified IPO pursuant to the Company’s amended Articles of Incorporation or (b) upon the written consent of the holders of the Preferred Stock.</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All shares of Preferred Stock automatically converted into shares of common stock on a 1-to-3.8044 basis in connection with the Company's IPO in January 2026 (see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Preferred Stock does not contain any mandatory redemption features. In accordance with ASC 480, preferred stock issued with redemption provisions that are outside of the control of the Company, including a deemed liquidation event, is required to be presented outside of stockholders’ deficit on the face of the consolidated balance sheets. The Company’s Preferred Stock contains redemption provisions that require it to be presented outside of stockholders’ deficit.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8. Stockholders’ deficit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provided, however, that, except as otherwise required by law, holders of common stock are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is no cumulative voting. Common stockholders are entitled to receive dividends, as may be declared by the Company’s Board, if any, subject to the preferential dividend rights of the Preferred Stock. During the year ended December 31, 2025, the Company increased the total number of common shares authorized from 155,000,000 shares to 156,800,000 shares. Through December 31, 2025, no dividends have been declared or paid.</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common stock available for future issuance is summarized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3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156,800,000</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155,000,000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915,261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780,996</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authorized and reserved for future issuances:</w:t>
            </w: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1,314,262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1,314,262</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20,520,285</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20,520,285</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657,133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657,133</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11,499,825</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11,499,825</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65,713</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5,899,875</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5,283,340</w:t>
            </w:r>
          </w:p>
        </w:tc>
        <w:tc>
          <w:tcPr>
            <w:tcW w:w="0" w:type="dxa"/>
            <w:vAlign w:val="bottom"/>
          </w:tcPr>
          <w:p>
            <w:pPr>
              <w:spacing w:after="0"/>
              <w:rPr>
                <w:sz w:val="1"/>
                <w:szCs w:val="1"/>
                <w:color w:val="auto"/>
              </w:rPr>
            </w:pPr>
          </w:p>
        </w:tc>
      </w:tr>
      <w:tr>
        <w:trPr>
          <w:trHeight w:val="198"/>
        </w:trPr>
        <w:tc>
          <w:tcPr>
            <w:tcW w:w="54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grant under the</w:t>
            </w:r>
          </w:p>
        </w:tc>
        <w:tc>
          <w:tcPr>
            <w:tcW w:w="1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285,723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563,391</w:t>
            </w:r>
          </w:p>
        </w:tc>
        <w:tc>
          <w:tcPr>
            <w:tcW w:w="0" w:type="dxa"/>
            <w:vAlign w:val="bottom"/>
          </w:tcPr>
          <w:p>
            <w:pPr>
              <w:spacing w:after="0"/>
              <w:rPr>
                <w:sz w:val="1"/>
                <w:szCs w:val="1"/>
                <w:color w:val="auto"/>
              </w:rPr>
            </w:pPr>
          </w:p>
        </w:tc>
      </w:tr>
      <w:tr>
        <w:trPr>
          <w:trHeight w:val="221"/>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 Equity Incentive Plan</w:t>
            </w:r>
          </w:p>
        </w:tc>
        <w:tc>
          <w:tcPr>
            <w:tcW w:w="1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common stock authorized and reserved for future</w:t>
            </w:r>
          </w:p>
        </w:tc>
        <w:tc>
          <w:tcPr>
            <w:tcW w:w="17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40,242,816</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39,903,949</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Unreserved common stock available for future issuance</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115,641,923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114,315,055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ind w:left="380" w:right="8920" w:hanging="372"/>
        <w:spacing w:after="0" w:line="378" w:lineRule="auto"/>
        <w:tabs>
          <w:tab w:leader="none" w:pos="18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Stock options</w:t>
      </w: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27, 2020, the Board adopted and approved the 2020 Equity Incentive Plan (the “2020 Plan”) under which stock options, restricted stock, and other awards as determined by the Board could be granted to employees, non-employees and directors of the Company. Each award granted may be evidenced by an award agreement between the Company and the grantee. Under the 2020 Plan, both incentive stock options (“ISOs”) and non-qualified stock options (“NSOs”) could be granted. ISOs may be granted only to the Company’s employees. The 2020 Plan is administered by the Board. The terms of the awards issued under the 2020 Plan, including vesting requirements, are determined by the Board or compensation committee of the Board. As of December 31, 2025, there were 285,723 shares of common stock available for future grant under the 2020 Plan.</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exercise price of stock options granted under the 2020 Plan generally may not be less than the market price of the common stock at the time of grant. Stock options generally vest over four years with a 25% vesting on the one-year anniversary of the grant date and the remainder vesting in equal monthly installments thereafter and have a maximum term of 10 years. The stock options granted contain only service conditions as the grantees are only required to provide services to the Company over the requisite service period to continue to vest in the awards.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requisite service period. As of December 31, 2025, the total unrecognized compensation related to unvested stock option awards was $15.5 million which the Company expects to recognize over a weighted-average period of approximately 2.73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7" w:name="page138"/>
    <w:bookmarkEnd w:id="137"/>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2020 Plan during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5,283,340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29,512</w:t>
            </w:r>
          </w:p>
        </w:tc>
        <w:tc>
          <w:tcPr>
            <w:tcW w:w="0" w:type="dxa"/>
            <w:vAlign w:val="bottom"/>
          </w:tcPr>
          <w:p>
            <w:pPr>
              <w:spacing w:after="0"/>
              <w:rPr>
                <w:sz w:val="1"/>
                <w:szCs w:val="1"/>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784,343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5,899,875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32,946</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3,304,413</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6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25,051</w:t>
            </w:r>
          </w:p>
        </w:tc>
        <w:tc>
          <w:tcPr>
            <w:tcW w:w="0" w:type="dxa"/>
            <w:vAlign w:val="bottom"/>
          </w:tcPr>
          <w:p>
            <w:pPr>
              <w:spacing w:after="0"/>
              <w:rPr>
                <w:sz w:val="1"/>
                <w:szCs w:val="1"/>
                <w:color w:val="auto"/>
              </w:rPr>
            </w:pPr>
          </w:p>
        </w:tc>
      </w:tr>
      <w:tr>
        <w:trPr>
          <w:trHeight w:val="194"/>
        </w:trPr>
        <w:tc>
          <w:tcPr>
            <w:tcW w:w="4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December 31, 2025</w:t>
            </w:r>
          </w:p>
        </w:tc>
        <w:tc>
          <w:tcPr>
            <w:tcW w:w="1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shd w:val="clear" w:color="auto" w:fill="CFF0FC"/>
          </w:tcPr>
          <w:p>
            <w:pPr>
              <w:ind w:left="60"/>
              <w:spacing w:after="0" w:line="178" w:lineRule="exact"/>
              <w:rPr>
                <w:sz w:val="20"/>
                <w:szCs w:val="20"/>
                <w:color w:val="auto"/>
              </w:rPr>
            </w:pPr>
            <w:r>
              <w:rPr>
                <w:rFonts w:ascii="Times New Roman" w:cs="Times New Roman" w:eastAsia="Times New Roman" w:hAnsi="Times New Roman"/>
                <w:sz w:val="18"/>
                <w:szCs w:val="18"/>
                <w:color w:val="auto"/>
              </w:rPr>
              <w:t>Options unvested and expected to vest as of</w:t>
            </w:r>
          </w:p>
        </w:tc>
        <w:tc>
          <w:tcPr>
            <w:tcW w:w="16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2,595,462</w:t>
            </w:r>
          </w:p>
        </w:tc>
        <w:tc>
          <w:tcPr>
            <w:tcW w:w="3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c>
          <w:tcPr>
            <w:tcW w:w="166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7,895</w:t>
            </w: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December 31, 2025</w:t>
            </w:r>
          </w:p>
        </w:tc>
        <w:tc>
          <w:tcPr>
            <w:tcW w:w="160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-574040</wp:posOffset>
            </wp:positionV>
            <wp:extent cx="857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-556895</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-574040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-556895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-574040</wp:posOffset>
            </wp:positionV>
            <wp:extent cx="857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857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857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during the years ended December 31, 2025 and 2024 was $8.14 and $5.95, respectively. The total intrinsic value of stock options exercised during the years ended December 31, 2025 and 2024 was $1.2 million and $0.4 million, respectively.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 Scholes option-pricing model to determine the grant-date fair value of the stock options granted during the years ended:</w:t>
      </w:r>
    </w:p>
    <w:p>
      <w:pPr>
        <w:spacing w:after="0" w:line="15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c>
          <w:tcPr>
            <w:tcW w:w="17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operating expenses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1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1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857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loss before income taxes and net loss for the years ended December 31, 2025 and December 31, 2024 was from its U.S. domestic operations. The Company had no current or deferred federal or state income tax expense due to operating losses incurred for the years ended December 31, 2025 and 2024 and the full valuation allowance recorded on net deferred tax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difference between the Company's effective income tax rate and the U.S. federal statutory rate of 21% was primarily driven by the change in the valuation allowance. A reconciliation of the federal statutory income tax rate to the Company's effective tax rate after the adoption of ASU 2023-09 is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statutory rate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(13,383)</w:t>
            </w: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280" w:type="dxa"/>
            <w:vAlign w:val="bottom"/>
          </w:tcPr>
          <w:p>
            <w:pPr>
              <w:spacing w:after="0"/>
              <w:rPr>
                <w:sz w:val="18"/>
                <w:szCs w:val="18"/>
                <w:color w:val="auto"/>
              </w:rPr>
            </w:pPr>
          </w:p>
        </w:tc>
        <w:tc>
          <w:tcPr>
            <w:tcW w:w="222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tax laws or rates</w:t>
            </w:r>
          </w:p>
        </w:tc>
        <w:tc>
          <w:tcPr>
            <w:tcW w:w="28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(2,784)</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Cross-border tax laws</w:t>
            </w:r>
          </w:p>
        </w:tc>
        <w:tc>
          <w:tcPr>
            <w:tcW w:w="28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280" w:type="dxa"/>
            <w:vAlign w:val="bottom"/>
          </w:tcPr>
          <w:p>
            <w:pPr>
              <w:spacing w:after="0"/>
              <w:rPr>
                <w:sz w:val="18"/>
                <w:szCs w:val="18"/>
                <w:color w:val="auto"/>
              </w:rPr>
            </w:pPr>
          </w:p>
        </w:tc>
        <w:tc>
          <w:tcPr>
            <w:tcW w:w="222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-170815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1460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prior to the adoption of ASU 2023-09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The components of the Company’s deferred taxes are as follows (in thousands):</w:t>
            </w: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12,866</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 and state research and development credits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Start up and amortized costs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Accruals and other</w:t>
            </w:r>
          </w:p>
        </w:tc>
        <w:tc>
          <w:tcPr>
            <w:tcW w:w="30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15,687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174–Research and development expenses capitalized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16,368</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59,842</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35,759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(30,710)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5,122</w:t>
            </w: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78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F-21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-1645285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-1079500</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9" w:name="page140"/>
    <w:bookmarkEnd w:id="139"/>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which are comprised primarily of net operating loss carryforwards (“NOLs”), the capitalization of research and experimental expenditures, tax credits, and deferred revenue. Management has considered the Company’s history of cumulative net losses in the United States, estimated future taxable income and prudent and feasible tax planning strategies and has concluded that it is more likely than not that the Company will not realize the benefits of its U.S. federal and state deferred tax assets and as such the Company has provided a valuation allowance for the full amount of the net deferred tax assets.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NOLs for federal and state income tax purposes of $45.8 million and $40.8 million, respectively. As of December 31, 2024, the Company had NOLs for federal and state income tax purposes of $37.7 million and $21.3 million, respectively. The entire federal NOL balance of $45.8 million was generated after 2017 and will be carried forward indefinitely and could be used to offset up to 80% of taxable income of each future tax year. State NOLs of $40.8 million will be carried forward and begin to expire in 2041. As of December 31, 2025 and 2024, the Company has federal tax credits of $6.9 million and $4.1 million, respectively, and state research and development credits of $0.9 million and $0.5 million which begin to expire in 2041 and 2037, respectively.</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valuation allowance increased in 2025 by $24.0 million due to the increase in net deferred tax assets having a full valuation allowance (primarily due to the increase in deferred revenue, section 174-research and development expenses capitalized, NOL carryforwards and research and development credits). The valuation allowance increased in 2024 by $13.5 million due to the increase in net deferred tax assets having a full valuation allowance (primarily due to the increase in section 174-research and development expenses capitalized, the NOL carryforwards and research and development credits).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related to NOLs and federal and state research and development credits, ultimately depends on the existence of sufficient taxable income within the carryforward period. As of December 31, 2025 and 2024,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the deferred tax assets will not be realized. Accordingly, the Company maintained a full valuation allowance against its net deferred tax assets as of December 31, 2025 and 2024.</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8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charged to income tax expense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8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charged to other comprehensive income</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80" w:type="dxa"/>
            <w:vAlign w:val="bottom"/>
            <w:tcBorders>
              <w:top w:val="single" w:sz="8" w:color="CFF0FC"/>
            </w:tcBorders>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As a result, the Company is not able to estimate the effect of the change in control, if any, on the Company’s ability to utilize NOL and federal and state research and development credits carryforwards in the future. At this time, the Company has not completed an Internal Revenue Code 382 analysis. However, at such time that the Company does conduct such analysis, the Company may conclude that some or all of the Company’s tax attributes are limited.</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Tax Cuts and Jobs Act resulted in significant changes to the treatment of research and developmental expenditures under Section 174 of the Internal Revenue Code. For tax years beginning after December 31, 2021, taxpayers are required to capitalize and amortize all research and developmental expenditures that are paid or incurred in connection with their trade or business. Per the One Big Beautiful Bill Act, effective July 4, 2025, taxpayers are still required to capitalize foreign research and development expenditures over 15 years, but now have the opportunity to deduct domestic research and development expenditures under IRC 174A. The Company has elected to continue to amortize prior year domestic capitalized costs until the amortization of such costs is complete. As of December 31, 2025 and 2024, the Company capitalized $9.5 million and $37.8 million, respectively, of research and developmental expenditures.</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no uncertain tax positions relevant to the jurisdictions where it is required to file income tax returns requiring recognition in the consolidated financial statements. As of December 31, 2025 and 2024, the Company had no accrued interest or penalties related to uncertain tax positions.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jc w:val="both"/>
        <w:spacing w:after="0" w:line="266" w:lineRule="auto"/>
        <w:rPr>
          <w:sz w:val="20"/>
          <w:szCs w:val="20"/>
          <w:color w:val="auto"/>
        </w:rPr>
      </w:pPr>
      <w:r>
        <w:rPr>
          <w:rFonts w:ascii="Times New Roman" w:cs="Times New Roman" w:eastAsia="Times New Roman" w:hAnsi="Times New Roman"/>
          <w:sz w:val="18"/>
          <w:szCs w:val="18"/>
          <w:color w:val="auto"/>
        </w:rPr>
        <w:t>tax examinations. The Company’s tax years are all still open since inception and will remain open to examination by the major taxing jurisdictions to which the Company is subject, as carryforward attributes generated in years past may still be adjusted upon examination by the Internal Revenue Service or other authorities if they have or will be used in a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Blaze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July 22, 2021, the Company entered into the Blaze Agreement, as amended on March 3, 2022, May 20, 2022 and December 19, 2022, pursuant to which the Company and Blaze will grant to each other certain exclusive and non-exclusive licenses and an option to license Blaze's platform technology to use in conducting certain research and development activities. The Company made a one-time, non-refundable, upfront payment of $1.8 million to Blaze, as partial consideration for the rights and licenses granted to the Company under the Blaze Agreement, which was recognized immediately as research and development expense, as the acquired license represented IPR&amp;D with no alternative future use. The Company paid an additional one-time payment of $0.2 million in connection with the December 19, 2022 amendment, which was recognized immediately as research and development expense. The Blaze Agreement requires the Company to make specified non-refundable, non-creditable discovery milestones milestone payments to Blaze of up to $0.7 million per collaboration target as well as royalty payments on a product-by-product basis until the later of (a) the date of expiration of the last-to-expire valid claim covering such collaboration target, or (b) ten years following the date of the first commercial sale of such collaboration target. The milestone payments will be recognized when the milestone is achieved, and the royalties will be recognized when the sales occur. As of December 31, 2025, no such milestones had been achieved.</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execution of the Blaze Agreement, the Company also issued the Preferred Stock Warrants to Blaze to purchase 2,000,000 shares of Partner Preferred Stock, as a partial consideration for the rights and licenses granted to the Company. The Preferred Stock Warrants will expire either upon a change of control or on July 22, 2031. The Preferred Stock Warrants represent an additional upfront payment and is treated in a similar manner to the one-time upfront payment. The initial fair value of the Preferred Stock Warrants of $0.6 million was recognized immediately as research and development expense for the year ended December 31, 2021. In connection with the amendment on May 20, 2022, the Company replaced the original terms of the Preferred Stock Warrants with revised vesting dates. As of December 31, 2023, 250,000 Preferred Stock Warrants were vested.</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March 2024, the Company notified Blaze of the termination of the Blaze Agreement. Upon termination, Blaze exercised the 250,000 of vested Preferred Stock Warrants for nominal consideration. The remaining unvested Preferred Stock Warrants were cancelled upon the notice of termination.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Institute for Protein Innovation, Inc. license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November 1, 2021, the Company entered into an exclusive license agreement (the “IPI Agreement”) with the Institute for Protein Innovation, Inc. (“IPI”) pursuant to which IPI granted to the Company an exclusive, worldwide license, with the right to sublicense (subject to certain conditions), on certain of IPI's patents and know-how related to certain binder proteins, targeting up to 14 target proteins, to research, develop, make, have made and commercialize certain products. The Company made a one-time upfront payment of $0.2 million and will make annual payments of less than $0.1 million on each anniversary up to the date of the first commercial sale of the first licensed product in order to retain the license, pursuant to which the Company has paid an aggregate of $0.2 million through December 31, 2025. The one-time upfront payment was recognized immediately as research and development expense, as the acquired license represented IPR&amp;D with no alternative future use. Under the IPI Agreement, the Company is also required to pay non-refundable, non-creditable development and regulatory milestone payments of up to $24.0 million. In addition, if the Company successfully commercializes a licensed product under the IPI Agreement, the Company is required to pay low single-digit royalties on net sales, on a product-by-product and country-by-country basis, subject to specified reductions, until the later of (a) the expiration of the last to expire valid claim covering the manufacture, use or sale of such licensed product in such country or (b) ten years after the first licensed product sale in such country. The milestone payments will be recognized when the milestone is achieved, and the royalties will be recognized when the sales occur. As of December 31, 2025 and 2024, no such milestones have been achieved.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TRIUMF license agreement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July 21, 2022, the Company entered into a license agreement (the “TRIUMF License”) with TRIUMF Inc., a Canadian non-profit, TRIUMF Innovations Inc. ("TRIUMF"), a Canadian non-profit, University of British Columbia, and BC Cancer, a provincial health services authority, collectively referred to as the “Licensors.” Pursuant to the TRIUMF License, the Licensors granted the Company a non-exclusive, worldwide license, with right to sublicense (subject to certain conditions), on certain patents and know-how related to the Licensors' chelator technology to make, use, sell, offer for sale, import, and export certain radiopharmaceutical products for the diagnosis, treatment, amelioration, and prevention of human diseases and conditions. None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of the Company's product candidates currently incorporate, or rely on, the licensed patents and know-how from the TRIUMF License.</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made a one-time upfront payment of $0.1 million which was recognized immediately as research and development expense, as the acquired license represented IPR&amp;D with no alternative future use. The TRIUMF License requires the Company to pay up to an aggregate of $2.0 million upon achievement of certain regulatory and development milestones. The Company is also obligated to pay low single digit royalties on net sales of licensed products, on a product-by-product basis. For licensed products not covered by a valid claim of a licensed patent, our royalty obligation terminates on the tenth anniversary of the first commercial use of such licensed product in each country. The milestone payments will be recognized when the milestone is achieved, and the royalties will be recognized when the sales occur. As of December 31, 2025 and 2024, no such milestones have been achieved.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University of Minnesota license agreement</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March 3, 2023, the Company entered into an exclusive license agreement (the “Minnesota License”) with Regents of the University of Minnesota (the "University of Minnesota") under which the Company licensed certain rights to the licensed patents of a known target-binding miniprotein (the “Licensed Patents”) for commercialization throughout the term of the Minnesota License, pursuant to which the Company has paid an aggregate of $0.4 million through December 31, 2025. The Company made an initial payment of $0.1 million and will pay a yearly license fee of less than $0.1 million. The initial payment was recognized immediately as research and development expense, as the acquired license represented IPR&amp;D with no alternative future use. The Company will make the non-refundable, non-creditable performance milestone payments to the University of Minnesota of up to an aggregate of $14.7 million upon achievement of certain regulatory and development milestones, subject to specified reductions upon regulatory approvals of the first therapeutic licensed product, and up to $35.0 million upon the achievement of certain commercial milestones. In the event that the Company is not developing a therapeutic licensed product and are only developing a diagnostic licensed product, the Company will be required to pay up to an aggregate of $1.5 million upon specified regulatory approvals for up to three diagnostic licensed products. In addition, the Company will make running royalty payments on a product-by-product basis based on a low single digit percentages of net sales, until expiration of the Minnesota License, which is when there is no longer a valid claim covering a licensed product, unless earlier terminated. The developmental milestone payment will be recognized when the milestone is achieved, and the commercial milestone payment and royalties will be recognized when the sales occur. No such milestones have been achieved.</w:t>
      </w:r>
    </w:p>
    <w:p>
      <w:pPr>
        <w:spacing w:after="0" w:line="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September 2025, the Company terminated the Minnesota License. No additional payment obligations on the Company's part or any other costs remain associated with the Minnesota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Collaboration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Eli Lilly collaboration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May 16, 2024, the Company entered into the Collaboration Agreement with Eli Lilly to generate anticancer radiopharmaceuticals using the Company's novel miniprotein technology platform. Pursuant to the Collaboration Agreement, the Company granted Eli Lilly an exclusive (even as to the Company and its affiliates), royalty-bearing, worldwide license, with the right to sublicense, to certain of the Company's patents and other intellectual property rights to exploit certain compounds and therapeutic or diagnostic products that contain such compounds solely as products that contain a radioactive isotope. The Company also granted Eli Lilly a non-exclusive, royalty-bearing, worldwide license, with the right to sublicense, to the intellectual property necessary or useful to exploit the licensed compounds and licensed products solely as products that contain a radioactive isotope and a non-exclusive, fully paid-up license, with the right to sublicense, to exploit certain other intellectual property developed under the Collaboration Agreement for any and all purposes (subject to certain limitations). In addition, the Company and Eli Lilly agreed to negotiate in good faith to enter into a separate agreement in the event the parties agree that the clinical development of a licensed compound requires, or would be benefited by, a license to one of the Company's other compounds. Eli Lilly may, at any time in its sole discretion and without cause, terminate the Collaboration Agreement on a collaboration target-by-collaboration target or region-by- region basis (or any combination thereof) upon 60 days’ prior written notice to the Company. Eli Lilly may, in its sole discretion, terminate the Collaboration Agreement in its entirety at any time and without cause upon 60 days’ prior written notice to the Company.</w:t>
      </w:r>
    </w:p>
    <w:p>
      <w:pPr>
        <w:spacing w:after="0" w:line="8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Collaboration Agreement, Eli Lilly may designate a specified number of initial collaboration targets, with one substitution right per initial collaboration target. The Company is responsible for research activities through initial human imaging studies for each selected target, and Eli Lilly will thereafter be responsible for regulatory filings, clinical development and commercialization activities worldwide. There is a separate research plan for each collaboration target, and the Company's development costs are capped, on a research plan-by-research plan basis. Eli Lilly will reimburse reasonable out-of-pocket costs and full-time employee equivalent costs incurred in excess of the cap.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2" w:name="page143"/>
    <w:bookmarkEnd w:id="142"/>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Collaboration Agreement requires Eli Lilly to pay $60.0 million as a nonrefundable upfront cash payment. The Collaboration Agreement requires Eli Lilly to pay up to an aggregate of $525.0 million upon achievement of certain research, development, regulatory and commercial launch milestones and up to an aggregate of $630.0 million upon achievement of certain sales milestones. In addition, if Eli Lilly successfully commercializes a therapeutic or diagnostic product under the Collaboration Agreement, Eli Lilly is required, unless earlier terminated, to pay the Company a tiered royalty of up to low-double digits based on annual net sales, on a product-by-product and country-by-country basis, subject to specified reductions, until the later of the expiration of licensed patent rights in a country, expiration of regulatory exclusivity, or ten years after the first product sale in such country.</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evaluated the Collaboration Agreement and determined it was within the scope of ASC 606. The Company determined the promised goods and services included the exclusive and non-exclusive license granted to Eli Lilly to use the Company’s intellectual property and know-how to research, develop, and commercialize products related to each of the initial collaboration targets selected by Eli Lilly, as well as corresponding research activities to be provided by the Company during a specified research term for each of the collaboration targets. The Company determined that the exclusive license granted under the Collaboration Agreement and the research activities are not individually distinct and represents a combined performance obligation, one for each of the distinct initial collaboration targets.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Eli Lilly also has the right to replace each of the initial collaboration targets once during a specified period for additional consideration of reimbursement of the actual research costs incurred for each replaced initial collaboration target. The Company concluded the consideration to be paid by Eli Lilly for each replacement right represented a discount to the standalone selling price. Accordingly, the replacement right was determined to represent a material right and thus represents a performance obligation for each initial collaboration target. Therefore, there are two separate performance obligations for each initial collaboration target within the context of the Collaboration Agreement.</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Concurrently, the Company also entered into the Series A-1 Agreement with Eli Lilly and issued 2,500,000 shares of Series A-1 Preferred Stock (see Note 7) to Eli Lilly for total proceeds of $10.0 million (the “Eli Lilly Equity Transaction”). The Company determined the fair value of the shares sold under the Eli Lilly Equity Transaction to be $1.8 million less than the total proceeds received of $10.0 million. The Company recorded the issuance of the Series A-1 Preferred Stock at fair value and, therefore, the excess proceeds received were included in the transaction price of the Collaboration Agreement, which, along with the non-refundable upfront payment of $60.0 million, was allocated to each of the initial collaboration targets and each replacement right. For each initial collaboration target, the allocated transaction price is being recognized as revenue over the total estimated period of performance. For each replacement right, the allocated transaction price will be recognized as revenue over the total estimated period of performance if the material right is exercised, or it will be recognized as revenue immediately upon expiration of the replacement right.</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 for each initial collaboration target and the material right to replace each of the initial collaboration targets on a relative stand-alone selling price basis using the expected cost plus a margin approach under ASC 606. In September 2025, the transaction price was adjusted to include $1.0 million in variable consideration, upon the achievement of the first milestone under the Collaboration Agreement, which was previously excluded based on the Company's evaluation of the constraint of estimated variable consideration. All other remaining milestones remained fully constrained and excluded from the transaction price.</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recognizes revenue related to each initial collaboration target over time using the costs incurred input method, such that revenue is recognized based on the Company’s efforts or inputs to the satisfaction of a performance obligation, which provides an appropriate depiction of the Company's progress toward fulfilling its performance obligations. Through this method, the Company applies a cost-to-cost method and compares the actual costs incurred to date with the current estimate of total costs to complete (“ETCs”) to measure the satisfaction of each performance obligation and recognize revenue as research activities progress and costs are incurred. Throughout the research term for each initial collaboration target, the Company monitors its ETCs to determine if an adjustment is needed to ensure that revenue is recognized proportionally for costs incurred to date relative to the total costs expected to be incurred for the total performance obligation. As there are changes in facts and circumstances that impact management’s ETCs with respect to ongoing and prospective research activities, the ETCs are updated accordingly. The Company recognized $6.5 million of collaboration revenue for the year ended December 31, 2025. The remaining transaction price of $54.8 million is expected to be recognized as revenue through 2030. As of December 31, 2025, one development milestone under the Collaboration Agreement totaling $1.0 million was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was not subject to any material legal proceedings during the years ended December 31, 2025 and 2024, and the Company is not aware of any material legal proceedings that are currently pending or threatened.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3" w:name="page144"/>
    <w:bookmarkEnd w:id="143"/>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Royalty transfer agreement</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27, 2020, concurrent with entering into the Series Seed Agreement, the Company entered into a royalty transfer agreement (the "Royalty Transfer Agreement") with MPM Oncology Charitable Foundation, Inc. (the “MPM Charitable Foundation”), an affiliate of a stockholder holding more than 5% of the total outstanding stock of the Company, and the UBS Optimus Foundation (“UBS" and together with MPM Charitable Foundation, the “Charitable Foundations”). Pursuant to the Royalty Transfer Agreement, the Company will pay 0.5% of annual global net sales to each of the Charitable Foundations, for a total of 1.0% of net sales, subject to customary reductions, for products that incorporate or utilize intellectual property that was discovered or developed by the Company prior to an initial public offering. The Company's payment obligations for each product will continue on a country-by-country basis upon the later of the twelfth anniversary of the first commercial sale of such product in such country or the expiration of the last to expire of certain patents owned or controlled by the Company covering such products in such country.</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payment obligations to MPM Charitable Foundation will terminate immediately upon authorization of the MPM Charitable Foundation's board of directors (or similar body) or upon the winding up or dissolution of MPM Charitable Foundation. The Company’s payment obligations to UBS will terminate immediately upon the winding up of Oncology Impact Fund 2, L.P., a Cayman Islands exempt limited partnership which is affiliated with MPM Charitable Foundation.</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will record a liability when the associated net sales are generated.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received consulting and management services from entities affiliated with MPM Asset Management LLC ("MPM"), a beneficial owner holding more than 5% of the total outstanding common stock of the Company as of December 31, 2025 and 2024. In connection with these services, the costs incurred for the year ended December 31, 2025 were de minimis, and the Company incurred costs of $0.1 million for the year ended December 31, 2024, which are included in general and administrative expenses on the consolidated statements of operations and comprehensive loss. As of December 31, 2025 and 2024, no amounts were owed to the MPM affiliates.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15.Employee Benefit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Effective September 2021, the Company adopted the Aktis Oncology 401(k) Plan (the “401(k) Plan”) for its employees, which is designed to be qualified under Section 401(k) of the Internal Revenue Code. Eligible employees are permitted to contribute to the 401(k) Plan within statutory and 401(k) Plan limits. The Company did not provide any matching or discretionary contributions under the 401(k) Plan during the years ended December 31, 2025 and 2024.</w:t>
      </w:r>
    </w:p>
    <w:p>
      <w:pPr>
        <w:spacing w:after="0" w:line="176" w:lineRule="exact"/>
        <w:rPr>
          <w:sz w:val="20"/>
          <w:szCs w:val="20"/>
          <w:color w:val="auto"/>
        </w:rPr>
      </w:pPr>
    </w:p>
    <w:p>
      <w:pPr>
        <w:ind w:left="380" w:right="9620" w:hanging="372"/>
        <w:spacing w:after="0" w:line="378" w:lineRule="auto"/>
        <w:tabs>
          <w:tab w:leader="none" w:pos="27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b w:val="1"/>
          <w:bCs w:val="1"/>
          <w:i w:val="1"/>
          <w:iCs w:val="1"/>
          <w:color w:val="auto"/>
        </w:rPr>
        <w:t>Operating leases</w:t>
      </w: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March 2021, the Company entered into a lease agreement for a research and development laboratory and related office space located in Durham, North Carolina (the "Durham Lease"). The term of the Durham Lease commenced in March 2021 and had an original termination date of March 31, 2024. During the year ended December 31, 2024, the Durham Lease was extended with a revised termination date of September 30, 2025. The lease was extended again in January 2025, with a revised termination date of September 30, 2026. The lease extensions were accounted for as modifications in accordance with ASC 842 and the Company reassessed the lease liability and right-of-use ("ROU") asset related to the lease at each modification date. The first lease extension resulted in an increase of $0.5 million to the related operating lease ROU asset and lease liability on the date of the extension. The second lease extension resulted in an increase of $0.4 million to the related operating lease ROU asset and lease liability on the date of the extension.</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January 2022, the Company entered into a lease for office, laboratory and storage space located in Boston, Massachusetts. Since the space was under construction, and certain improvements needed to be made before taking occupancy, the Company did not record a ROU asset or lease liability related to this lease until January 4, 2023, when the Company took control of the premises. In April 2025, the Company entered into an amendment to increase the lab space in the same building. The amendment provided for additional operating lease payments of $0.6 million for the additional lab space and includes annual base rent escalation clauses during the lease term. The lease is set to expire 10 years from the rent commencement date of January 4, 2023.</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4" w:name="page145"/>
    <w:bookmarkEnd w:id="144"/>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weighted-average remaining lease term and discount rates which are used in the calculation of the Company’s ROU assets and lease liabilities: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-111760</wp:posOffset>
            </wp:positionV>
            <wp:extent cx="4989195"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Components of lease costs are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w w:val="97"/>
              </w:rPr>
              <w:t>6.87 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7.70 years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864"/>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3,112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3,349</w:t>
            </w:r>
          </w:p>
        </w:tc>
        <w:tc>
          <w:tcPr>
            <w:tcW w:w="40" w:type="dxa"/>
            <w:vAlign w:val="bottom"/>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4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40" w:space="720"/>
            <w:col w:w="4380"/>
          </w:cols>
          <w:pgMar w:left="320" w:top="1093"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Maturity analysis of operating lease liabilities as of December 31, 2025, were as detailed below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2031 and beyond</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tcPr>
          <w:p>
            <w:pPr>
              <w:spacing w:after="0"/>
              <w:rPr>
                <w:sz w:val="18"/>
                <w:szCs w:val="18"/>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(4,769)</w:t>
            </w:r>
          </w:p>
        </w:tc>
      </w:tr>
      <w:tr>
        <w:trPr>
          <w:trHeight w:val="250"/>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w:t>
      </w:r>
    </w:p>
    <w:p>
      <w:pPr>
        <w:spacing w:after="0" w:line="22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19685</wp:posOffset>
            </wp:positionV>
            <wp:extent cx="15773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1" w:lineRule="exact"/>
        <w:rPr>
          <w:sz w:val="20"/>
          <w:szCs w:val="20"/>
          <w:color w:val="auto"/>
        </w:rPr>
      </w:pPr>
    </w:p>
    <w:p>
      <w:pPr>
        <w:ind w:left="7380"/>
        <w:spacing w:after="0"/>
        <w:tabs>
          <w:tab w:leader="none" w:pos="87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15773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Cash flows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40"/>
        <w:spacing w:after="0" w:line="250"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color w:val="auto"/>
        </w:rPr>
        <w:t>Remeasurement of right-of-use asset and lease liability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2,652</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32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548" w:lineRule="exact"/>
        <w:rPr>
          <w:sz w:val="20"/>
          <w:szCs w:val="20"/>
          <w:color w:val="auto"/>
        </w:rPr>
      </w:pPr>
    </w:p>
    <w:p>
      <w:pPr>
        <w:sectPr>
          <w:pgSz w:w="11900" w:h="16838" w:orient="portrait"/>
          <w:cols w:equalWidth="0" w:num="2">
            <w:col w:w="6800" w:space="200"/>
            <w:col w:w="4240"/>
          </w:cols>
          <w:pgMar w:left="320" w:top="1093" w:right="339" w:bottom="1440" w:gutter="0" w:footer="0" w:header="0"/>
          <w:type w:val="continuous"/>
        </w:sect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for the periods presented (in thousands, except share and per share amounts):</w:t>
      </w:r>
    </w:p>
    <w:p>
      <w:pPr>
        <w:spacing w:after="0" w:line="168" w:lineRule="exact"/>
        <w:rPr>
          <w:sz w:val="20"/>
          <w:szCs w:val="20"/>
          <w:color w:val="auto"/>
        </w:rPr>
      </w:pPr>
    </w:p>
    <w:tbl>
      <w:tblPr>
        <w:tblLayout w:type="fixed"/>
        <w:tblInd w:w="170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6"/>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(63,731)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(63,731)</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stock used in net loss per share,</w:t>
            </w:r>
          </w:p>
        </w:tc>
        <w:tc>
          <w:tcPr>
            <w:tcW w:w="1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813,524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704,165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-1177925</wp:posOffset>
            </wp:positionV>
            <wp:extent cx="76835"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-1177925</wp:posOffset>
            </wp:positionV>
            <wp:extent cx="76835"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-599440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-582295</wp:posOffset>
            </wp:positionV>
            <wp:extent cx="51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-599440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-582295</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The following outstanding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45" w:name="page146"/>
    <w:bookmarkEnd w:id="1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have been excluded from the computation of diluted net loss per share attributable to common stockholders, as including them would have had an anti-dilutive effect:</w:t>
      </w:r>
    </w:p>
    <w:p>
      <w:pPr>
        <w:spacing w:after="0" w:line="154"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250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197"/>
        </w:trPr>
        <w:tc>
          <w:tcPr>
            <w:tcW w:w="53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34,057,218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34,057,218</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5,899,875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5,283,340</w:t>
            </w:r>
          </w:p>
        </w:tc>
        <w:tc>
          <w:tcPr>
            <w:tcW w:w="80" w:type="dxa"/>
            <w:vAlign w:val="bottom"/>
          </w:tcPr>
          <w:p>
            <w:pPr>
              <w:spacing w:after="0"/>
              <w:rPr>
                <w:sz w:val="18"/>
                <w:szCs w:val="18"/>
                <w:color w:val="auto"/>
              </w:rPr>
            </w:pPr>
          </w:p>
        </w:tc>
      </w:tr>
      <w:tr>
        <w:trPr>
          <w:trHeight w:val="249"/>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39,957,093</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39,340,558</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reportable segment focused on the research and development of targeted radiopharmaceuticals to treat a broad range of solid tumor cancers. The accounting policies of the single operating segment are identical to those described in Note 2. The CODM manages the Company’s operations on a consolidated basis and assesses performance based on consolidated net loss, which is reported on the consolidated statements of operations. The measure of segment assets is reported on the consolidated balance sheets as total consolidated assets. Expenditures for additions to long-lived assets, which include purchases of property and equipment, are included in total consolidated assets reviewed by the CODM and are reported on the consolidated statements of cash flows. The CODM uses consolidated net loss and budget-to-actual variances to allocate resources and assess the performance of the entire company.</w:t>
      </w:r>
    </w:p>
    <w:p>
      <w:pPr>
        <w:spacing w:after="0" w:line="8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Certain segment information for prior period has been recast to conform to the current year presentation. The recast did not impact the Company's previously reported consolidated results of operations.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information represents significant segment expenses regularly provided to the CODM with the following categories (in thousands):</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196"/>
        </w:trPr>
        <w:tc>
          <w:tcPr>
            <w:tcW w:w="4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(20,427)</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(13,344)</w:t>
            </w: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Consulting and contractor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(31,481)</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(14,827)</w:t>
            </w: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Laboratory supplies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(3,744)</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Scientific advisory board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5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Information technology, facilities, office and other </w:t>
            </w:r>
            <w:r>
              <w:rPr>
                <w:rFonts w:ascii="Times New Roman" w:cs="Times New Roman" w:eastAsia="Times New Roman" w:hAnsi="Times New Roman"/>
                <w:sz w:val="24"/>
                <w:szCs w:val="24"/>
                <w:color w:val="auto"/>
                <w:vertAlign w:val="superscript"/>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(10,557)</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(7,943)</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(5,212)</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(4,948)</w:t>
            </w: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Consulting and contractor</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and professional services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(2,612)</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(3,252)</w:t>
            </w:r>
          </w:p>
        </w:tc>
      </w:tr>
      <w:tr>
        <w:trPr>
          <w:trHeight w:val="216"/>
        </w:trPr>
        <w:tc>
          <w:tcPr>
            <w:tcW w:w="456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Information technology, facilities, office and other </w:t>
            </w:r>
            <w:r>
              <w:rPr>
                <w:rFonts w:ascii="Times New Roman" w:cs="Times New Roman" w:eastAsia="Times New Roman" w:hAnsi="Times New Roman"/>
                <w:sz w:val="24"/>
                <w:szCs w:val="24"/>
                <w:color w:val="auto"/>
                <w:vertAlign w:val="superscript"/>
              </w:rPr>
              <w:t>1</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(2,634)</w:t>
            </w: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80" w:type="dxa"/>
            <w:vAlign w:val="bottom"/>
          </w:tcPr>
          <w:p>
            <w:pPr>
              <w:spacing w:after="0"/>
              <w:rPr>
                <w:sz w:val="18"/>
                <w:szCs w:val="18"/>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(63,731)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(43,980)</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left="120" w:hanging="112"/>
        <w:spacing w:after="0"/>
        <w:tabs>
          <w:tab w:leader="none" w:pos="12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IT, facilities, office and other includes depreciation, amortization, stock-based compensation expense, and allocations.</w:t>
      </w:r>
    </w:p>
    <w:p>
      <w:pPr>
        <w:spacing w:after="0" w:line="103" w:lineRule="exact"/>
        <w:rPr>
          <w:sz w:val="20"/>
          <w:szCs w:val="20"/>
          <w:color w:val="auto"/>
        </w:rPr>
      </w:pPr>
    </w:p>
    <w:p>
      <w:pPr>
        <w:jc w:val="both"/>
        <w:ind w:firstLine="8"/>
        <w:spacing w:after="0" w:line="231" w:lineRule="auto"/>
        <w:tabs>
          <w:tab w:leader="none" w:pos="122"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items consist of interest income and other expense, net. Interest income consists of interest earned on cash equivalents and marketable securities and amortization or accretion of discounts or premiums on marketable securities. Other expense, net consists of gains and losses on currency revaluation related to the payment of foreign vendor invoices.</w:t>
      </w:r>
    </w:p>
    <w:p>
      <w:pPr>
        <w:spacing w:after="0" w:line="196" w:lineRule="exact"/>
        <w:rPr>
          <w:sz w:val="20"/>
          <w:szCs w:val="20"/>
          <w:color w:val="auto"/>
        </w:rPr>
      </w:pPr>
    </w:p>
    <w:p>
      <w:pPr>
        <w:jc w:val="right"/>
        <w:ind w:left="380" w:right="9500" w:hanging="372"/>
        <w:spacing w:after="0" w:line="400" w:lineRule="auto"/>
        <w:tabs>
          <w:tab w:leader="none" w:pos="276"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2026 Equity Plans</w:t>
      </w: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January 2026, the Board and the Company's stockholders adopted and approved the 2026 Stock Option and Incentive Plan (the "2026 Plan"), which became effective on January 8, 2026, the date immediately preceding the date that the registration statement on Form S-1 for the Company's IPO was declared effective by the SEC. The 2026 Plan initially reserved 4,009,452 shares of common stock for future issuances and is subject to automatic increases in the number of shares of common stock reserved for future issuances in accordance with the evergreen provisions in the 2026 Plan. The shares reserved for future issuance under the 2020 Plan ceased to be available for issuance at the time the 2026 Plan became effective. Any shares underlying outstanding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6" w:name="page147"/>
    <w:bookmarkEnd w:id="146"/>
    <w:p>
      <w:pPr>
        <w:jc w:val="both"/>
        <w:spacing w:after="0" w:line="266" w:lineRule="auto"/>
        <w:rPr>
          <w:sz w:val="20"/>
          <w:szCs w:val="20"/>
          <w:color w:val="auto"/>
        </w:rPr>
      </w:pPr>
      <w:r>
        <w:rPr>
          <w:rFonts w:ascii="Times New Roman" w:cs="Times New Roman" w:eastAsia="Times New Roman" w:hAnsi="Times New Roman"/>
          <w:sz w:val="18"/>
          <w:szCs w:val="18"/>
          <w:color w:val="auto"/>
        </w:rPr>
        <w:t>awards granted under the 2020 Plan that subsequently expire or are repurchased, forfeited, cancelled, or withheld will return to the 2026 Plan and be reserved and available for issuance. The Company granted 1,720,277 of common stock options subject to service-based vesting to certain executive officers, directors, and employees at the time of effectiveness of the 2026 Plan with an exercise price equal to $18.00 per share.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January 2026, the Board and the Company's stockholders adopted and approved the 2026 Employee Stock Purchase Plan (the "2026 ESPP"), which became effective on January 8, 2026, the date immediately preceding the date that the registration statement on Form S-1 for the Company's IPO was declared effective by the SEC. The 2026 ESPP initially reserved 27,843 shares of common stock for future issuance and is subject to automatic increases in the number of shares of common stock reserved for future issuances in accordance with the evergreen provisions in the 2026 ESPP.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2025,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provided by the JOBS Act for "emerging growth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21"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quarter ended December 31, 2025, none of our officers or directors adopted or terminated any such trading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current executive officers and directors, including their ages as of March 10,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0"/>
                <w:szCs w:val="20"/>
                <w:color w:val="auto"/>
              </w:rPr>
            </w:pPr>
          </w:p>
        </w:tc>
        <w:tc>
          <w:tcPr>
            <w:tcW w:w="53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Matthew Roden, PhD</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Kyle D. Kuvalanka</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Akos Czibere, MD, PhD</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L. Feldman, PhD</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Shulamit Ron-Bigger, PhD</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45</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Tyler Benedum, PhD</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Technical Officer</w:t>
            </w:r>
          </w:p>
        </w:tc>
      </w:tr>
      <w:tr>
        <w:trPr>
          <w:trHeight w:val="432"/>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16"/>
        </w:trPr>
        <w:tc>
          <w:tcPr>
            <w:tcW w:w="4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Todd Foley, MBA</w:t>
            </w:r>
            <w:r>
              <w:rPr>
                <w:rFonts w:ascii="Times New Roman" w:cs="Times New Roman" w:eastAsia="Times New Roman" w:hAnsi="Times New Roman"/>
                <w:sz w:val="24"/>
                <w:szCs w:val="24"/>
                <w:color w:val="auto"/>
                <w:vertAlign w:val="superscript"/>
              </w:rPr>
              <w:t>(2)(3)</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Ken Herrmann, MD</w:t>
            </w:r>
            <w:r>
              <w:rPr>
                <w:rFonts w:ascii="Times New Roman" w:cs="Times New Roman" w:eastAsia="Times New Roman" w:hAnsi="Times New Roman"/>
                <w:sz w:val="24"/>
                <w:szCs w:val="24"/>
                <w:color w:val="auto"/>
                <w:vertAlign w:val="superscript"/>
              </w:rPr>
              <w:t>(3)</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Helen S. Kim, MBA</w:t>
            </w:r>
            <w:r>
              <w:rPr>
                <w:rFonts w:ascii="Times New Roman" w:cs="Times New Roman" w:eastAsia="Times New Roman" w:hAnsi="Times New Roman"/>
                <w:sz w:val="24"/>
                <w:szCs w:val="24"/>
                <w:color w:val="auto"/>
                <w:vertAlign w:val="superscript"/>
              </w:rPr>
              <w:t>(3)</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Lloyd M. Segal, MBA</w:t>
            </w:r>
            <w:r>
              <w:rPr>
                <w:rFonts w:ascii="Times New Roman" w:cs="Times New Roman" w:eastAsia="Times New Roman" w:hAnsi="Times New Roman"/>
                <w:sz w:val="24"/>
                <w:szCs w:val="24"/>
                <w:color w:val="auto"/>
                <w:vertAlign w:val="superscript"/>
              </w:rPr>
              <w:t>(1)(3)</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Michael A. Sherman, MBA</w:t>
            </w:r>
            <w:r>
              <w:rPr>
                <w:rFonts w:ascii="Times New Roman" w:cs="Times New Roman" w:eastAsia="Times New Roman" w:hAnsi="Times New Roman"/>
                <w:sz w:val="24"/>
                <w:szCs w:val="24"/>
                <w:color w:val="auto"/>
                <w:vertAlign w:val="superscript"/>
              </w:rPr>
              <w:t>(1)(2)</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Mary Thistle</w:t>
            </w:r>
            <w:r>
              <w:rPr>
                <w:rFonts w:ascii="Times New Roman" w:cs="Times New Roman" w:eastAsia="Times New Roman" w:hAnsi="Times New Roman"/>
                <w:sz w:val="24"/>
                <w:szCs w:val="24"/>
                <w:color w:val="auto"/>
                <w:vertAlign w:val="superscript"/>
              </w:rPr>
              <w:t>(1)(2)</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66</w:t>
            </w:r>
          </w:p>
        </w:tc>
        <w:tc>
          <w:tcPr>
            <w:tcW w:w="240" w:type="dxa"/>
            <w:vAlign w:val="bottom"/>
            <w:shd w:val="clear" w:color="auto" w:fill="CFF0FC"/>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3"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80" w:hanging="372"/>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Roden, PhD </w:t>
      </w:r>
      <w:r>
        <w:rPr>
          <w:rFonts w:ascii="Times New Roman" w:cs="Times New Roman" w:eastAsia="Times New Roman" w:hAnsi="Times New Roman"/>
          <w:sz w:val="18"/>
          <w:szCs w:val="18"/>
          <w:color w:val="auto"/>
        </w:rPr>
        <w:t>has served as our President and Chief Executive Officer and as a member of our board of directors since September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2020, Dr. Roden has worked as an Entrepreneur Partner at MPM BioImpact LLC, a biotechnology investment firm. Dr. Roden also serves as a member of the board of directors of Orna Therapeutics, Inc., a biotechnology company, since May 2024 following its acquisition of ReNAgade Therapeutics Inc. where he had served on the board of directors since January 2023. Previously, Dr. Roden served on the board of directors of NextPoint Therapeutics, Inc., a clinical-stage biotechnology company, from October 2020 to December 2024, iTeos Therapeutics, Inc. (Nasdaq: ITOS), a clinical-stage biopharmaceutical company, from November 2020 to February 2023, and as Chairman of Tumeric Acquisition Corporation, a special purpose acquisition company, from September 2020 to December 2022. From November 2019 to August 2020, he was Senior Vice President and Head of Enterprise Strategy at Bristol Myers Squibb, a global pharmaceutical company. From May 2016 to November 2019, he served as Head of Strategic Corporate Development, accountable for mergers and acquisitions, structured transactions, strategic equity investing, and divestitures, and concurrently served as Head of Global Business Development Assessment at Bristol Myers Squibb, leading business development search and evaluation activities for all therapeutic categories. Dr. Roden also previously worked as an equity research analyst at UBS Investment Bank and J.P. Morgan. Dr. Roden holds a PhD in Microbiology and Immunology from the Albert Einstein College of Medicine, an MS from Georgetown University, a BS from George Mason University and was a pre-doctoral fellow at the National Cancer Institute. We believe that Dr. Roden’s leadership experience spanning both the pharmaceutical and financial industries qualifies him to serve as on our board of directors.</w:t>
      </w:r>
    </w:p>
    <w:p>
      <w:pPr>
        <w:spacing w:after="0" w:line="7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D. Kuvalanka </w:t>
      </w:r>
      <w:r>
        <w:rPr>
          <w:rFonts w:ascii="Times New Roman" w:cs="Times New Roman" w:eastAsia="Times New Roman" w:hAnsi="Times New Roman"/>
          <w:sz w:val="18"/>
          <w:szCs w:val="18"/>
          <w:color w:val="auto"/>
        </w:rPr>
        <w:t>has served as our Chief Financial Officer since November 2025. Mr. Kuvalanka previously served as Chief Financial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of ROME Therapeutics, Inc. since November 2023. Prior to ROME Therapeutics, from April 2020 to April 2023, he served as the Chief Financial Officer and Chief Operating Officer of Goldfinch Bio, Inc., or Goldfinch. In January 2023, Goldfinch initiated an Assignment for the Benefit of Creditors pursuant to Delaware state law. From April 2021 until September 2023, Mr. Kuvalanka served as a member of the board of directors and audit chair of IMV Inc., or IMV, a clinical stage biopharmaceuticals company. In December 2023, IMV filed an assignment pursuant to section 49(1) of the Bankruptcy and Insolvency Act (Canada) voluntarily declaring bankruptcy. Previously, Mr. Kuvalanka served as the Chief Operating Officer and Principal Financial and Accounting Officer of Syros Pharmaceuticals (Nasdaq: SYRS) and Chief Business Officer and Principal Financial and Accounting Officer of Blueprint Medicines Corporation (Nasdaq: BPMC). From 2002 to September 2013, Mr. Kuvalanka worked at Takeda Pharmaceuticals and at Millennium prior to its takeover by Takeda, including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9" w:name="page150"/>
    <w:bookmarkEnd w:id="1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vice president, corporate strategy, business development and alliance management from 2009 to September 2013. Mr. Kuvalanka holds a BA from Wesleyan University and an MBA from The Wharton Business School of the University of Pennsylvania.</w:t>
      </w:r>
    </w:p>
    <w:p>
      <w:pPr>
        <w:spacing w:after="0" w:line="5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Akos Czibere, MD, PhD </w:t>
      </w:r>
      <w:r>
        <w:rPr>
          <w:rFonts w:ascii="Times New Roman" w:cs="Times New Roman" w:eastAsia="Times New Roman" w:hAnsi="Times New Roman"/>
          <w:sz w:val="18"/>
          <w:szCs w:val="18"/>
          <w:color w:val="auto"/>
        </w:rPr>
        <w:t>has served as our Chief Medical Officer since July 2024. From April 2017 through July 2024, Dr. Czibere held 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of responsibility at Pfizer, most recently serving as Vice President Therapeutic Area Head of Hematology —Oncology, where he was responsible for strategy and execution across multiple programs. Prior to that, Dr. Czibere held increasing levels of seniority at Merrimack Pharmaceuticals. Dr. Czibere holds an MD and PhD from the University of Duesseldorf, Germany. Dr. Czibere conducted a Postdoctoral Fellowship at Harvard Medical School.</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L. Feldman, PhD </w:t>
      </w:r>
      <w:r>
        <w:rPr>
          <w:rFonts w:ascii="Times New Roman" w:cs="Times New Roman" w:eastAsia="Times New Roman" w:hAnsi="Times New Roman"/>
          <w:sz w:val="18"/>
          <w:szCs w:val="18"/>
          <w:color w:val="auto"/>
        </w:rPr>
        <w:t>has served as our Chief Scientific Officer since December 2020. Previously, Dr. Feldman was the Co-Founder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Phoundry Pharmaceuticals, Inc. before it was acquired by Intarcia Therapeutics, Inc., a biopharmaceutical company, in 2015. Dr. Feldman then spent five years at Intarcia on the executive management team as Head of Discovery and Translational Medicine leading the discovery and development of novel peptide therapeutics to treat metabolic disease until December 2020. Prior to his roles at Phoundry and Intarcia, he worked more than 27 years at GlaxoSmithKline (NYSE: GSK), a multinational pharmaceutical and biotechnology company, where he was part of the discovery of five approved drugs. Dr. Feldman also serves on the board of directors of the Chordoma Foundation. Dr. Feldman holds a PhD in Chemistry from the University of California, Berkeley and BS in Chemistry from Duke University.</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Shulamit Ron-Bigger, PhD </w:t>
      </w:r>
      <w:r>
        <w:rPr>
          <w:rFonts w:ascii="Times New Roman" w:cs="Times New Roman" w:eastAsia="Times New Roman" w:hAnsi="Times New Roman"/>
          <w:sz w:val="18"/>
          <w:szCs w:val="18"/>
          <w:color w:val="auto"/>
        </w:rPr>
        <w:t>has served as our Chief Operating Officer since September 2022. Previously, Dr. Ron-Bigger served as the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Portfolio Strategy for the Research and Early Development organization at Bristol Myers Squibb, from March 2021 until September 2022, where she led portfolio and program strategy, budget management, and operating model design and its implementation. Dr. Ron-Bigger also held various strategic and commercial roles in both United States and global markets while at Bristol Myers Squibb beginning in November of 2017. Prior to her roles at Bristol Myers Squibb, she worked as a strategic consultant to large pharmaceutical companies and served as a Human Resource officer in the Israeli Defense Forces. Dr. Ron-Bigger holds a PhD in Cancer Epigenetics from The Hebrew University of Jerusalem and a BA in Molecular Biochemistry from Technion – Israel Institute of Technology.</w:t>
      </w:r>
    </w:p>
    <w:p>
      <w:pPr>
        <w:spacing w:after="0" w:line="7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Benedum, PhD </w:t>
      </w:r>
      <w:r>
        <w:rPr>
          <w:rFonts w:ascii="Times New Roman" w:cs="Times New Roman" w:eastAsia="Times New Roman" w:hAnsi="Times New Roman"/>
          <w:sz w:val="18"/>
          <w:szCs w:val="18"/>
          <w:color w:val="auto"/>
        </w:rPr>
        <w:t>has served as our Chief Technical Officer since May 2024, prior to which he served as our Senior Vice President, CMC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2022. Previous to joining Aktis, from August 2005 to January 2022, Dr. Benedum held positions of increasing seniority at Avid RadioPharmaceuticals Inc. (acquired by Eli Lilly and Company), most recently serving as its Vice President of CMC Development and Manufacturing. Dr. Benedum received a BS in Chemistry from Washington College and a PhD in Organic Chemistry from the University of Virginia. He then completed his Postdoctoral Fellowship in natural product synthesis at the University of Pittsburgh.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Foley, MBA </w:t>
      </w:r>
      <w:r>
        <w:rPr>
          <w:rFonts w:ascii="Times New Roman" w:cs="Times New Roman" w:eastAsia="Times New Roman" w:hAnsi="Times New Roman"/>
          <w:sz w:val="18"/>
          <w:szCs w:val="18"/>
          <w:color w:val="auto"/>
        </w:rPr>
        <w:t>is our co-founder and has served as Chair of our board of directors since August 2020. Since 1999, Mr. Foley has worked at MPM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BioImpact LLC, a biotechnology investment firm where he has served as a Managing Director focusing on venture investments in biotech companies. Mr. Foley has previously served on the board of directors of Entrada Therapeutics, Inc. (Nasdaq: TRDA), from December 2018 to June 2023, Repare Therapeutics Inc. (Nasdaq: RPTX), from June 2017 to June 2024, Rhythm Pharmaceuticals, Inc. (Nasdaq: RYTM), from 2014 to June 2021, and Chiasma Inc., from May 2008 until its merger with Amryt Pharma plc in August 2021. Mr. Foley also serves on the board of directors of several other privately-held life sciences and biotechnology companies. Mr. Foley received a BS in Chemistry from the Massachusetts Institute of Technology and an MBA from Harvard Business School. We believe that Mr. Foley’s financial expertise and experience as both an investor of and a member of the board of directors of numerous life sciences companies qualifies him to serve on our board of directors.</w:t>
      </w:r>
    </w:p>
    <w:p>
      <w:pPr>
        <w:spacing w:after="0" w:line="7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Herrmann, MD </w:t>
      </w:r>
      <w:r>
        <w:rPr>
          <w:rFonts w:ascii="Times New Roman" w:cs="Times New Roman" w:eastAsia="Times New Roman" w:hAnsi="Times New Roman"/>
          <w:sz w:val="18"/>
          <w:szCs w:val="18"/>
          <w:color w:val="auto"/>
        </w:rPr>
        <w:t>has served as a member of our board of directors since May 2024. Since 2016, Dr. Herrmann has been the Director and Chair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Department of Nuclear Medicine at the Universitätsmedizin Essen in Germany. Prior to that, Dr. Herrmann was a tenured Associate Professor at the Department of Molecular and Medical Pharmacology at the University of California, Los Angeles, from 2015 until June 2021. Dr. Herrmann also served as the Chair of the EANM Oncology &amp; Theranostics Committee and on the board of directors of two privately-held biotechnology companies. Currently he serves as a Section Editor of the Journal of Nuclear Medicine and as Imaging Editor of European Eurology. Dr. Herrmann received an MD and a Doctorate degree in Medicine from the Humboldt Universität Berlin and an MBA from the University of Zurich. We believe that Dr. Herrmann’s expertise and experience as a professor in medicine at numerous higher education institutions qualifies him to serve on our board of directors.</w:t>
      </w:r>
    </w:p>
    <w:p>
      <w:pPr>
        <w:spacing w:after="0" w:line="7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Helen S. Kim, MBA </w:t>
      </w:r>
      <w:r>
        <w:rPr>
          <w:rFonts w:ascii="Times New Roman" w:cs="Times New Roman" w:eastAsia="Times New Roman" w:hAnsi="Times New Roman"/>
          <w:sz w:val="18"/>
          <w:szCs w:val="18"/>
          <w:color w:val="auto"/>
        </w:rPr>
        <w:t>has served as a member of our board of directors since February 2021. Since April 2019, Ms. Kim has been a Senior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Vida Ventures, LLC, a venture capital firm. From March 2018 to March 2019, Ms. Kim was a Partner at The Column Group, a venture capital firm. Previously, Ms. Kim was the Executive Vice President, Business Development at Kite Pharma, Inc. from June 2014 to January 2018, where she led the business and corporate development initiatives resulting in its acquisition by Gilead in 2017. From August 2009 to November 2014, Ms. Kim worked at NGM Biopharmaceuticals Inc., a biopharmaceutical company, serving in the role of Chief Business Officer from August 2009 to July 2012 and Strategic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18"/>
          <w:szCs w:val="18"/>
          <w:color w:val="auto"/>
        </w:rPr>
        <w:t>Advisor from July 2012 to November 2014. From 2007 to 2008, she served as the Chief Executive Officer and President of Kosan Biosciences Inc., a pharmaceutical company, prior to the sale of the company to Bristol Myers Squibb. Prior to this, Ms. Kim held various executive and leadership positions at Affymax, Inc., a biopharmaceutical company, Onyx Pharmaceuticals, Inc., a biopharmaceutical company and subsidiary of Amgen Inc., Protein Design Labs, Inc., a technology company, and Chiron Corporation, a biotechnology company and a subsidiary of Novartis AG. From August 2003 to November 2007, Ms. Kim also served as Chief Program Officer for the Gordon and Betty Moore Foundation, a nonprofit organization. Ms. Kim currently serves on the board of directors of Phylaxis Bioscience, LLC, since September 2024, Prothena Corporation plc (Nasdaq: PRTA), since August 2022, and on the board of directors of the privately held companies, InduPro Labs, since February 2022, Protego Biopharma, since October 2021, IconOVir Bio, Inc., since December 2020, ReCode Therapeutics, Inc., since March 2020, and A2 Biotherapeutics, Inc., since April 2019. Ms. Kim previously served on the board of directors of Applied Molecular Transport, Inc., from October 2018 until April 2022. Ms. Kim received a BS in Chemical Engineering from Northwestern University and an MBA from the University of Chicago. We believe that Ms. Kim’s business and leadership experience at numerous life sciences companies qualifies her to serve on our board of directors.</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Oleg Nodelman </w:t>
      </w:r>
      <w:r>
        <w:rPr>
          <w:rFonts w:ascii="Times New Roman" w:cs="Times New Roman" w:eastAsia="Times New Roman" w:hAnsi="Times New Roman"/>
          <w:sz w:val="18"/>
          <w:szCs w:val="18"/>
          <w:color w:val="auto"/>
        </w:rPr>
        <w:t>has served as a member of our board of directors since February 2021. Since October 2012, Mr. Nodelman has served as the Founder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Portfolio Manager of EcoR1 Capital, LLC, a biotechnology-focused investment advisory firm which invests in companies in all stages of research and development. From 2001 to 2012, he held various roles including Portfolio Manager at BVF Partners. Mr. Nodelman has served as a director of the biotechnology companies, AnaptysBio, Inc. (Nasdaq: ANAB) since April 2021, Galapagos NV (Nasdaq: GLPG) since October 2024 and Zymeworks Inc. (Nasdaq: ZYME) since February 2025. Previously, Mr. Nodelman served as a director of the biotechnology companies Nuvation Biosciences, Inc. (Nasdaq: NUVB) from February 2021 to December 2023 and Prothena Corporation plc from December 2019 to December 2024. Mr. Nodelman also served as a director of Panacea Acquisition Corp. II, a blank check company, from April 2020 to February 2021. Mr. Nodelman earned his BS in Foreign Service with a concentration in Science and Technology from Georgetown University. We believe Mr. Nodelman’s extensive biotechnology industry experience qualifies him to serve on our board of directors.</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Lloyd M. Segal, MBA </w:t>
      </w:r>
      <w:r>
        <w:rPr>
          <w:rFonts w:ascii="Times New Roman" w:cs="Times New Roman" w:eastAsia="Times New Roman" w:hAnsi="Times New Roman"/>
          <w:sz w:val="18"/>
          <w:szCs w:val="18"/>
          <w:color w:val="auto"/>
        </w:rPr>
        <w:t>has served as a member of our board of directors since February 2021. Mr. Segal is the co-founder of Repare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clinical-stage oncology drug developer, and served as its President and Chief Executive Officer and as a member of the board of directors, since its incorporation in 2016 through April 2025. From February 2010 to January 2016, he was a Managing Partner with Persistence Capital Partners, a leading healthcare private equity investor. From June 2016 to March 2020, Mr. Segal served as Entrepreneur-in-Residence with Versant Ventures, a biotechnology venture capital firm based in San Francisco. Previously, Mr. Segal served as chief executive officer of several emerging biotechnology companies including Caprion Pharmaceuticals (now CellCarta), Advanced Bioconcept and Thallion Pharmaceuticals. Mr. Segal previously served as Chairman of LMC Diabetes &amp; Endocrinology, North America’s largest community endocrinology and diabetes clinical and research practice, and Chairman of MedReleaf, until its $2.5 billion sale to Aurora Cannabis in 2018. He also previously served on the boards of directors of several public and private U.S. and Canadian companies. Mr. Segal received a BA in Politics from Brandeis University and an MBA from Harvard Business School. We believe that Mr. Segal’s extensive experience in the biotechnology industry in addition to his corporate governance and executive leadership experience qualifies him to serve on our board of directors.</w:t>
      </w:r>
    </w:p>
    <w:p>
      <w:pPr>
        <w:spacing w:after="0" w:line="7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 Sherman, MBA </w:t>
      </w:r>
      <w:r>
        <w:rPr>
          <w:rFonts w:ascii="Times New Roman" w:cs="Times New Roman" w:eastAsia="Times New Roman" w:hAnsi="Times New Roman"/>
          <w:sz w:val="18"/>
          <w:szCs w:val="18"/>
          <w:color w:val="auto"/>
        </w:rPr>
        <w:t>has served as a member of our board of directors since August 2025. Mr. Sherman currently serves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Werewolf Therapeutics, Inc. (Nasdaq: HOWL), a publicly traded biopharmaceutical company, a position he has held since May 2021. Mr. Sherman previously served from April 2019 to July 2023 as Chief Executive Officer and a member of the board of directors of Chimerix, Inc., a publicly traded biopharmaceutical company, and as chair of the board of directors of Chimerix from August 2023 to April 2025. Prior to that, Mr. Sherman served as President, Chief Executive Officer, and member of the board of directors of Endocyte, Inc., a biopharmaceutical company, from June 2016 until December 2018, when it was acquired by Novartis. Mr. Sherman joined Endocyte in 2006 and served as its Chief Financial Officer and Chief Operating Officer prior to becoming Chief Executive Officer. Prior to joining Endocyte, Mr. Sherman served in various executive roles, including as vice president of finance and strategic planning for Guidant Corporation, which was acquired by Boston Scientific Corporation. He has also served on the board of directors of Biospecifics Technologies, Inc. from April 2020 until its acquisition by Endo Pharmaceuticals in December 2020, and he served as chair of the board of directors of the Children’s Museum of Indianapolis from January 2012 until December 2022. Mr. Sherman holds a BA in economics from DePauw University and an MBA from the Tuck School of Business at Dartmouth, graduating as a Tuck Scholar. We believe that Mr. Sherman’s 30 years’ experience advancing therapeutics to commercial launch and expertise in operations and strategic transactions in the biotechnology and medical technology industries qualifies him to serve as a member of our board of directors.</w:t>
      </w:r>
    </w:p>
    <w:p>
      <w:pPr>
        <w:spacing w:after="0" w:line="7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Thistle </w:t>
      </w:r>
      <w:r>
        <w:rPr>
          <w:rFonts w:ascii="Times New Roman" w:cs="Times New Roman" w:eastAsia="Times New Roman" w:hAnsi="Times New Roman"/>
          <w:sz w:val="18"/>
          <w:szCs w:val="18"/>
          <w:color w:val="auto"/>
        </w:rPr>
        <w:t>has served as a member of our board of directors since January 2025. Ms. Thistle previously served as Special Advisor to the Bill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Melinda Gates Medical Research Institute, or the Medical Research Institute, a non-profit biotech organization, from the fall of 2020 to June 2022, and previously served as the organization’s Chief of Staff from January 2018 to the fall of 2020. Prior to the Medical Research Institute, she held senior leadership positions at Dimension Therapeutics, Inc., a gene therapy company, including as Chief Operating Officer from 2016 to 2017 and Chief Business Officer from 2015 to 2016. Prior to joining Dimension Therapeutics, Ms. Thistle held various leadership positions at Cubist Pharmaceuticals, Inc., a biopharmaceutical company, including as Senior Vice President, Business Development from 2014 to 2015, Vice President,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1" w:name="page152"/>
    <w:bookmarkEnd w:id="151"/>
    <w:p>
      <w:pPr>
        <w:jc w:val="both"/>
        <w:spacing w:after="0" w:line="255" w:lineRule="auto"/>
        <w:rPr>
          <w:sz w:val="20"/>
          <w:szCs w:val="20"/>
          <w:color w:val="auto"/>
        </w:rPr>
      </w:pPr>
      <w:r>
        <w:rPr>
          <w:rFonts w:ascii="Times New Roman" w:cs="Times New Roman" w:eastAsia="Times New Roman" w:hAnsi="Times New Roman"/>
          <w:sz w:val="18"/>
          <w:szCs w:val="18"/>
          <w:color w:val="auto"/>
        </w:rPr>
        <w:t>Business Development from 2012 to 2013 and Senior Director, Business Development from 2009 to 2012. Prior to Cubist Pharmaceuticals, she held various positions at ViaCell, Inc. and PerkinElmer LAS Inc. Ms. Thistle has served on the board of directors of Cullinan Therapeutics, Inc. (Nasdaq: CGEM), since August 2024, Q32 Bio Inc. (Nasdaq: QTTB) (formerly known as Homology Medicines, Inc.), since March 2024, Entrada Therapeutics, Inc., since May 2021 and Vigil Neuroscience, Inc., since April 2022, as well as on the boards of multiple private companies. Ms. Thistle also previously served on the board of directors of Alaunos Therapeutics, Inc. (formerly known as Ziopharm Oncology, Inc.) from November 2020 to December 2023. Ms. Thistle holds a BS in Business and Accounting from the University of Massachusetts, Boston and is a former Certified Public Accountant. We believe Ms. Thistle is qualified to serve as a member of our board of directors due to her finance and business development background and biotechnology industry experience.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currently consists of eight members. The primary responsibilities of our board of directors are to provide oversight, strategic guidance, counseling and direction to our management. Our board of directors meets on a regular basis and additionally as required.</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may establish the authorized number of directors from time to time by resolution. 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72" w:lineRule="exact"/>
        <w:rPr>
          <w:sz w:val="20"/>
          <w:szCs w:val="20"/>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consists of Todd Foley, Helen S. Kim and Oleg Nodelman, and their terms will expire at our annual meeting of stockholders to be held in 2027;</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consists of Lloyd M. Segal and Mary Thistle, and their terms will expire at our annual meeting of stockholders to be held in 2028;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consists of Ken Herrmann, Michael A. Sherman and Matthew Roden, and their terms will expire at our annual meeting of stockholders to be held in 2029.</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 Our directors may be removed for cause by the affirmative vote of the holders of at least two-thirds of our voting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Todd Foley, who has authority, among other things, to call and preside over board of directors meetings, to set meeting agendas and to determine materials to be distributed to the board of directors. Accordingly, the Chairperson has substantial ability to shape the work of the board of directors. We believe that separation of the positions of Chairperson and Chief Executive Officer reinforces the independence of the board of directors in its oversight of our business and affairs.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board of directors and its committees have an active role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as well as risks relating to cybersecurity matters. The nominating and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rules of the Nasdaq Stock Market, or the Nasdaq Listing Rules, which are posted on our website at www.aktisoncology.com. Our board of directors may establish other committees as it deems necessary or appropriate from time to time. Information contained on, or accessible through, our website is not a part of this Annual Report, and the inclusion of our website address in this Annual Report is only an inactive textual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audit committee’s responsibilities include, among others:</w:t>
      </w:r>
    </w:p>
    <w:p>
      <w:pPr>
        <w:spacing w:after="0" w:line="117" w:lineRule="exact"/>
        <w:rPr>
          <w:sz w:val="20"/>
          <w:szCs w:val="20"/>
          <w:color w:val="auto"/>
        </w:rPr>
      </w:pPr>
    </w:p>
    <w:p>
      <w:pPr>
        <w:ind w:left="760" w:right="2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retaining, terminating, approving the compensation of, and evaluating the qualifications, performance, procedures and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written periodic reports and resolving disagreements between management and such firm;</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performed by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including earnings releases;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periodically reviewing with our independent registered public accounting firm our compliance with all applicable requirements of the Public Company Accounting Oversight Board;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to take appropriate action in response to the disclosures and statements made within the written periodic reports and discussions with the independent registered accounting firm to satisfy itself of such firms’ independence;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any material issues regarding accounting principles and financial statement presentations and the steps taken to deal with such issues;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disclosures about any significant deficiencies or material weaknesses in our internal control structures and procedures, including disclosures in our annual and quarterly reports;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any material issues regarding cybersecurity risks and processes for assessing, identifying and managing material risks from cybersecurity threats;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risk management policies, including with respect to our enterprise, financial, legal privacy and regulatory risk assessment and risk exposures;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person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guidelines and policies governing risk assessment and risk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periodically reviewing the integrity of our information technology systems, process and data;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rules of the SEC;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audit committee’s charter;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3" w:name="page154"/>
    <w:bookmarkEnd w:id="153"/>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All audit services and all non-audit services, other than de minimis non-audit services, to be provided to us by our independent registered public accounting firm must be approved in advance by our audit committee.</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Mary Thistle, Lloyd M. Segal and Michael A. Sherman. Mary Thistle chairs the audit committee. Our board of directors has determined that each member of our audit committee is independent and has sufficient knowledge in financial and auditing matters to serve on the audit committee under the Nasdaq Listing Rules. Our board of directors has also determined that Mary Thistle is an “audit committee financial expert,” as defined under Item 407 of Regulation S-K.</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audit committee complies with all applicable requirements of the Sarbanes-Oxley Act of 2022, or the Sarbanes-Oxley Act, and all applicable SEC and Nasdaq Listing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compensation committee’s responsibilities include, among others:</w:t>
      </w:r>
    </w:p>
    <w:p>
      <w:pPr>
        <w:spacing w:after="0" w:line="117" w:lineRule="exact"/>
        <w:rPr>
          <w:sz w:val="20"/>
          <w:szCs w:val="20"/>
          <w:color w:val="auto"/>
        </w:rPr>
      </w:pPr>
    </w:p>
    <w:p>
      <w:pPr>
        <w:jc w:val="both"/>
        <w:ind w:left="760" w:hanging="378"/>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our overall compensation strategy to ensure the attraction and retention of key management personnel, the motivation of management to achieve our corporate goals and strategies and the alignment of the interests of management with the long-term interests of our stockholders;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compensation of our chief executive officer and other executive officers;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executive officers in light of their performance goals and objectives, including during executive sessions of non-employee directors, and recommending to our board of directors the compensation of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non-employee director compensation;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administering our equity incentive plans, granting awards under such plan and making recommendations to the board of directors about the adoption of any new or modifying existing equity-based, cash-based, management incentive and deferred compensation plans;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“clawback” policies that allow the recouping of incentive compensation;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considering and selecting, to the extent determined to be advisable, a peer group of appropriate companies for purposing of benchmarking and analysis of compensation for our executive officers and non-employee directors;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any stock ownership guidelines for our executive officers and non-employee directors, periodically assessing these guidelines and recommending revisions as appropriate, and monitoring individual compliance with these guidelines;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appointing or obtaining advice of a compensation consultant, legal counsel or other advisor and determining the compensation and independence of such consultant or advisor;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on executive compensation for inclusion in our Annual Report on Form 10-K and our proxy statement in accordance with SEC rules;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the requirements of the Sarbanes-Oxley Act relating to loans to directors and officers;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contract and other compensation, severance and change-in-control arrangements for our executive officers;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periodically reviewing policies and procedures with respect to perquisites as they relate to our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risks associated with our compensation policies and practices;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to our board of directors of management’s plans for succession to senior management positions based on guidelines developed and recommended to the compensation committee to the full board of directors;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strategies, initiatives and programs with respect to our culture, talent recruitment, development, and retention, employee engagement and diversity and inclusion;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minutes of the compensation committee and reporting its actions and any recommendations to the board of directors on a periodic basis;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compensation committee’s charter;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4" w:name="page155"/>
    <w:bookmarkEnd w:id="154"/>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compensation committee.</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Todd Foley, Michael A. Sherman and Mary Thistle. Todd Foley chairs the compensation committee.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the composition and functioning of our compensation committee complies with all applicable requirements of the Sarbanes-Oxley Act, and all applicable SEC and Nasdaq Listing Rules and regulations. We intend to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 among others:</w:t>
      </w:r>
    </w:p>
    <w:p>
      <w:pPr>
        <w:spacing w:after="0" w:line="117" w:lineRule="exact"/>
        <w:rPr>
          <w:sz w:val="20"/>
          <w:szCs w:val="20"/>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criteria for board and committee membership, including a description of the specific qualifications the nominating and corporate governance committee believes directors should possess, and periodically reassessing such criteria;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committee of the board;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to be followed under which our stockholders may recommend a candidate to the nominating and corporate governance committee for consideration for nomination as a director;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identifying and evaluating nominees for election to the board, including nominees recommended by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slates on an annual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qualified candidates to fill vacancies on our board of directors;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principles applicable to us and reviewing the principles periodically;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size, composition, leadership structure and board committee structure;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 concert with our board of directors, our policies with respect to significant issues of corporate public responsibility, including but not limited to sustainability, diversity and inclusion and environmental, social and governance initiatives;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of processes for annual evaluations of the performance of our board of directors and committees of our board of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for annual evaluations of our board of directors and its committees, including individual directors and our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reporting to our board of directors any questions of possible conflicts of interest of members of our board of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social corporate responsibility activities, policies, and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new director orientation and continuing education for existing directors on a periodic basis;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to our board of directors of management’s plans for succession to senior management positions in the company;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nominating and corporate governance committee’s charter;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nominating and corporate governance committee.</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Todd Foley, Ken Herrmann, Lloyd M. Segal and Helen S. Kim. Todd Foley chairs the nominating and corporate governance committee.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the composition and functioning of our nominating and corporate governance committee complies with all applicable requirements of the Sarbanes-Oxley Act, and all applicable SEC and Nasdaq Listing Rules and regulations. We intend to comply with future requirements to the extent they become applicable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our stockholders may recommend nominees to our board of directors from those that were described in our final prospectus filed pursuant to Rule 424(b)(4) under the Securities Act with the SEC on January 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The full text of the Code of Conduct is available on our website at www.aktisoncology.com.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Annual Report. We have included our website in this Annual Report solely as an inactive textual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our directors, officers, employees, and other covered persons. We believe that our Insider Trading Policy is reasonably designed to promote compliance with insider trading laws, rules and regulations, and the exchange listing standards applicable to us. A copy of our Insider Trading Policy is filed as Exhibit 19.1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our President and Chief Executive Officer, Matthew Roden, PhD, and our next two most highly compensated executive officers, Akos Czibere, MD, PhD, our Chief Medical Officer, and Paul L. Feldman, PhD, our Chief Scientific Officer, for our fiscal year ended December 31, 2025. These executives are collectively referred to as our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in respect of their service to us for the fiscal year ended December 31,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26"/>
              <w:spacing w:after="0"/>
              <w:rPr>
                <w:sz w:val="20"/>
                <w:szCs w:val="20"/>
                <w:color w:val="auto"/>
              </w:rPr>
            </w:pPr>
            <w:r>
              <w:rPr>
                <w:rFonts w:ascii="Times New Roman" w:cs="Times New Roman" w:eastAsia="Times New Roman" w:hAnsi="Times New Roman"/>
                <w:sz w:val="15"/>
                <w:szCs w:val="15"/>
                <w:b w:val="1"/>
                <w:bCs w:val="1"/>
                <w:color w:val="auto"/>
              </w:rPr>
              <w:t>Nonequity</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26"/>
              <w:spacing w:after="0" w:line="162" w:lineRule="exact"/>
              <w:rPr>
                <w:sz w:val="20"/>
                <w:szCs w:val="20"/>
                <w:color w:val="auto"/>
              </w:rPr>
            </w:pPr>
            <w:r>
              <w:rPr>
                <w:rFonts w:ascii="Times New Roman" w:cs="Times New Roman" w:eastAsia="Times New Roman" w:hAnsi="Times New Roman"/>
                <w:sz w:val="15"/>
                <w:szCs w:val="15"/>
                <w:b w:val="1"/>
                <w:bCs w:val="1"/>
                <w:color w:val="auto"/>
              </w:rPr>
              <w:t>incentive plan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247"/>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21"/>
              <w:spacing w:after="0" w:line="162"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146"/>
              <w:spacing w:after="0" w:line="156"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247"/>
              <w:spacing w:after="0" w:line="156"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21"/>
              <w:spacing w:after="0" w:line="156"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Salary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6"/>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7"/>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Total ($)</w:t>
            </w:r>
          </w:p>
        </w:tc>
      </w:tr>
      <w:tr>
        <w:trPr>
          <w:trHeight w:val="180"/>
        </w:trPr>
        <w:tc>
          <w:tcPr>
            <w:tcW w:w="37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Matthew Roden, PhD</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218"/>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9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579,280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334,200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914,680</w:t>
            </w:r>
          </w:p>
        </w:tc>
      </w:tr>
      <w:tr>
        <w:trPr>
          <w:trHeight w:val="187"/>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Akos Czibere, MD, PhD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5"/>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468,000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106,650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225,750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102,280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902,680</w:t>
            </w:r>
          </w:p>
        </w:tc>
      </w:tr>
      <w:tr>
        <w:trPr>
          <w:trHeight w:val="19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Paul L. Feldman, PhD</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218"/>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9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447,200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194,015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642,415</w:t>
            </w:r>
          </w:p>
        </w:tc>
      </w:tr>
    </w:tbl>
    <w:p>
      <w:pPr>
        <w:spacing w:after="0" w:line="193"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 annual bonuses earned with respect to fiscal year 2025 under our annual bonus program.</w:t>
      </w:r>
    </w:p>
    <w:p>
      <w:pPr>
        <w:spacing w:after="0" w:line="3" w:lineRule="exact"/>
        <w:rPr>
          <w:rFonts w:ascii="Times New Roman" w:cs="Times New Roman" w:eastAsia="Times New Roman" w:hAnsi="Times New Roman"/>
          <w:sz w:val="14"/>
          <w:szCs w:val="14"/>
          <w:color w:val="auto"/>
        </w:rPr>
      </w:pPr>
    </w:p>
    <w:p>
      <w:pPr>
        <w:jc w:val="both"/>
        <w:ind w:left="380" w:hanging="372"/>
        <w:spacing w:after="0" w:line="233" w:lineRule="auto"/>
        <w:tabs>
          <w:tab w:leader="none" w:pos="3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stock awards and option awards granted to the named executive officers during 2025, as calculated in accordance with FASB ASC Topic 718. Such grant date value does not take into account any estimated forfeitures related to service-based vesting conditions. The assumptions used in the grant date fair value of the awards in this column are described in Note 9—“Stock-Based Compensation” to our consolidated financial statements included elsewhere in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Prior to the closing of the IPO, we had entered into executive employment agreements with each of our named executive officers. Each employment agreement provided for “at-will” employment and the compensation and benefits described below. In connection with the IPO, we entered into a new employment agreements with each of our named executive officers that became effective as of the closing of the IPO.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Matthew Roden, PhD</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entered into a letter agreement with Dr. Roden, dated September 24, 2021, which was effective as of May 1, 2021, pursuant to which he agreed to serve as our President and Chief Executive Officer. The letter agreement provided for at-will employment and either party had the ability to terminate his employment, for any reason or no reason, upon 30 days prior written notice, although we could terminate his employment for cause (as defined in the letter agreement) at any time upon written notice.</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letter agreement provided that Dr. Roden was entitled to an initial annualized base salary of $400,000, which reflected his initial 80% time commitment, which was subsequently increased to $557,000 in December 2024 to reflect his increased time commitment. The base salary is reviewed annually, typically in connection with our annual performance review process and may be adjusted from time to time to realign salaries with market levels. The letter agreement also provided that Dr. Roden was entitled to an annual discretionary bonus, with a target of 40% of his base salary. Dr. Roden was generally required to remain employed with us through the date of payment in order to earn a discretionary bonus for a fiscal year, but if, after the end of a fiscal year but prior to payment of the bonus for such fiscal year, we terminated his employment without cause, he resigned for good reason (as defined in the letter agreement) or his employment terminated due to his death or disability (as defined in the letter agreement), he would be deemed to have earned the bonus for such prior year as if he had remained employed by us through the payment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Akos Czibere, MD, PhD</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entered into a letter agreement with Dr. Czibere, dated June 18, 2024, pursuant to which he agreed to serve as our Chief Medical Officer. The letter agreement provided for at-will employment and either party had the ability to terminate his employment, at any time, for any reason or no reason.</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letter agreement provided that Dr. Czibere was entitled to an initial annualized base salary of $450,000 and also provided that Dr. Czibere was entitled to an annual discretionary bonus, with a target of 40% of his base salary. The base salary is reviewed annually, typically in connection with our annual performance review process and may be adjusted from time to time to realign salaries with market levels. Dr. Czibere was generally required to remain employed with us through the date of payment in order to earn a discretionary bonus for a fiscal year, but if, after the end of a fiscal year but prior to payment of the bonus for such fiscal year, we terminated his employment without cause (as defined in the letter agreement), he resigned for good reason (as defined in the letter agreement) or his employment terminated due to his death or disability (as defined in the letter agreement), he would be deemed to have earned the bonus for such prior year as if he had remained employed by us through the payment date.</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Dr. Czibere received options to purchase 271,218 shares of our common stock pursuant to our 2020 Equity Incentive Plan. The options vest over a period of four years, with 25% of the shares subject to the option vesting on the first anniversary of his start date and the remaining shares vesting in equal monthly increments over the following 3 years, subject to continued service with us through the applicable vesting date. In addition, Dr. Czibere received a sign-on bonus of $100,000, with 50% payable six months after his start date and the remaining 50% payable upon his one year anniversary, subject to forfeiture in the event that Dr. Czibere employment was terminated within the first year without cause or for good reason (each as defined in the letter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L. Feldman, PhD</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entered into a letter agreement with Dr. Feldman dated October 26, 2022, pursuant to which he agreed to serve as our Chief Scientific Officer. The letter agreement provided for at-will employment and either party had the ability to terminate his employment, at any time, for any reason or no reason.</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letter agreement provided that Dr. Feldman was entitled to an initial annualized base salary of $385,000 and also provided that Dr. Feldman was entitled to an annual discretionary bonus, with a target of 30% of his base salary. The base salary is reviewed annually, typically in connection with our annual performance review process and may be adjusted from time to time to realign salaries with market levels. Dr. Feldman was generally required to remain employed with us through the date of payment in order to earn a discretionary bonus for a fiscal year, but if, after the end of a fiscal year but prior to payment of the bonus for such fiscal year, we terminated his employment without cause (as defined in the letter agreement), he resigned for good reason (as defined in the letter agreement) or his employment terminated due to his death or disability (as defined in the letter agreement), he would be deemed to have earned the bonus for such prior year as if he had remained employed by us through the payment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Prior to the closing of the IPO, each of our named executive officers was entitled to severance and other benefits upon a termination of his or her employment in certain circumstances, as described below. The terms “cause”, “good reason” and “change of control” referred to below were defined in the named executive officer’s employment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Matthew Roden, PhD</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Dr. Roden’s letter agreement provided that if we terminated Dr. Roden’s employment without cause (as defined in the letter agreement), he resigned for good reason (as defined in the letter agreement) or his employment terminated due to his death or disability, then, subject to his timely execution and delivery of a separation agreement that included a general release of claims, he would be eligible to receive (i) payment of base salary for 12 months (or 18 months if the termination occurred within 12 months after a change of control (as defined in the letter agreement)), (ii) a prorated bonus for the year of termination, paid at the same time that bonuses are paid to other employees, (iii) payment of his COBRA premiums for the severance period described above (or if earlier, until he was no longer eligible for COBRA coverage or became eligible for comparable health insurance coverage in connection with new employment or self-employment), and (iv) accelerated vesting of equity awards for the number of shares that would have vested had he continued to provide service through the end of the severance period (provided that if the termination occurred within 12 months after a change of control, he was entitled to full acceleration of his outstanding equity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Akos Czibere, MD, PhD</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Dr. Czibere’s letter agreement provided that if we terminated Dr. Czibere’s employment without cause (as defined in the letter agreement), he resigned for good reason (as defined in the letter agreement) or his employment terminated due to his death or disability, then, subject to his timely execution and delivery of a separation agreement that included a general release of claims, he would be eligible to receive (i) payment of base salary for 6 months, (ii) payment of his COBRA premiums for the severance period described above (or, if earlier, until he was no longer eligible for COBRA coverage or became eligible for comparable health insurance coverage in connection with new employment or self-employment), and (iii) if the termination occurred within 12 months after a change of control (as defined in the letter agreement), he was entitled to full acceleration of his outstanding equity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L. Feldman, PhD</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Dr. Feldman’s letter agreement provided that if we terminated Dr. Feldman’s employment without cause (as defined in the letter agreement), he resigned for good reason (as defined in the letter agreement) or his employment terminated due to his death or disability, then, subject to his timely execution and delivery of a separation agreement that included a general release of claims, he would be eligible to receive (i) payment of base salary for 6 months, (ii) payment of his COBRA premiums for the severance period described above (or, if earlier, until he was no longer eligible for COBRA coverage or became eligible for comparable health insurance coverage in connection with new employment or self-employment), and (iii) if the termination occurred within 12 months after a change of control (as defined in the letter agreement), he was entitled to full acceleration of his outstanding equity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in Place as of the Closing of the IPO for Named Executive Officers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Effective as of the closing of the IPO, we entered into an employment agreement with each of our named executive officers, or an Executive Agreement. The Executive Agreements provide for each named executive officer’s at-will employment and set forth, among other things, the applicable named executive officer’s annual base salary and annual target cash bonus. Pursuant to his Executive Agreement, Dr. Roden’s base salary was increased to $664,000, and he is eligible to receive an annual discretionary bonus with an annual target amount of 60% of his base salary. Pursuant to their respective Executive Agreements, Drs. Czibere’s and Feldman’s base salary was increased to $515,000 and $505,000, respectively, and each is eligible to receive an annual discretionary bonus with an annual target amount of their respective base salary. In addition, each named executive officer is eligible to participate in our benefit plans and programs, subject to the terms of such plans.</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Each of the named executive officers will also be eligible to receive severance payments and benefits in connection with a termination without “cause” or for “good reason” (as defined in the Executive Agreements). In connection with such a termination, a named executive officer would be eligible to receive the following payments and benefits subject to the name executive officer’s execution of a release and subject to not breaching any of the named executive officer’s post-employment contractual obligations to us: (i) continued payment of the named executive officer’s then-current base salary for a period of 9 months (12 months in the case of Dr. Roden) following termination, (ii) a pro-rated target bonus for the year in which the termination occurs,</w:t>
      </w:r>
    </w:p>
    <w:p>
      <w:pPr>
        <w:spacing w:after="0" w:line="3" w:lineRule="exact"/>
        <w:rPr>
          <w:sz w:val="20"/>
          <w:szCs w:val="20"/>
          <w:color w:val="auto"/>
        </w:rPr>
      </w:pPr>
    </w:p>
    <w:p>
      <w:pPr>
        <w:jc w:val="both"/>
        <w:ind w:firstLine="8"/>
        <w:spacing w:after="0" w:line="253" w:lineRule="auto"/>
        <w:tabs>
          <w:tab w:leader="none" w:pos="3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named executive officer was participating in the Company’s group health plan immediately prior to the termination date and timely elects continuation coverage under COBRA, company-paid COBRA premiums for the named executive officer and such named executive officer’s eligible dependents for a period of 9 months (12 months in the case of Dr. Roden) following termination and (iv) in the case of Dr. Roden, accelerated vesting of the unvested portion of any outstanding time-based equity award in an amount equal to the amount that would have vested had the named executive officer remained employed with us through the 12 months following the date of termination.</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Each of the named executive officers will also be eligible to receive enhanced severance payments and benefits (in lieu of the payments and benefits described in the immediately preceding sentence) if such a qualifying termination of employment occurs within 12 months following a “change in control” (as defined in the Executive Agreements). In connection with such a termination, a named executive officer would be eligible to receive the following payments and benefits subject to the named executive officer’s execution of a release and subject to not breaching any of the named executive officer’s post-employment contractual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to us: (i) a lump sum payment equal to 0.75x (or 1.0x in the case of Dr. Roden) the sum of the named executive officer’s (A) then-current base salary, plus</w:t>
      </w:r>
    </w:p>
    <w:p>
      <w:pPr>
        <w:spacing w:after="0" w:line="27" w:lineRule="exact"/>
        <w:rPr>
          <w:sz w:val="20"/>
          <w:szCs w:val="20"/>
          <w:color w:val="auto"/>
        </w:rPr>
      </w:pPr>
    </w:p>
    <w:p>
      <w:pPr>
        <w:jc w:val="both"/>
        <w:ind w:firstLine="8"/>
        <w:spacing w:after="0" w:line="253" w:lineRule="auto"/>
        <w:tabs>
          <w:tab w:leader="none" w:pos="3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bonus for the year of termination; (ii) the pro rated target bonus for the year of termination, (iii) if the named executive officer was participating in our group health plan immediately prior to the termination date and timely elects continuation coverage under COBRA, company-paid COBRA premiums for the named executive officer and the named executive officer’s eligible dependents for a period of 9 months (or 12 months in the case of Dr. Roden) following termination, and (iii), in the case of Dr. Roden, 100% of all unvested and outstanding time-based equity awards shall accelerate and become fully vested and exercisable or nonforfeitable.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and Retirement Benefits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currently provide broad-based health and welfare benefits to our full-time employees, including our named executive officers, including health, life, disability, vision, and dental insurance. In addition, we maintain a safe-harbor 401(k) retirement plan under which we make discretionary matching non-elective contributions to eligible plan participants. We did not provide any matching or discretionary contributions under the 401(k) plan during the fiscal year ended December 31, 2025. Other than the 401(k) plan, we do not provide any qualified or non-qualified retirement or deferred compensation benefits to our employees, including our named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about the outstanding equity awards held by each of our named executive officers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c>
          <w:tcPr>
            <w:tcW w:w="14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w:t>
            </w: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Roden, PhD</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430,198</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127,897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578,277</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4/14/2031</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180,470</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438,286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10/10/2034</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Akos Czibere, MD, PhD</w:t>
            </w:r>
          </w:p>
        </w:tc>
        <w:tc>
          <w:tcPr>
            <w:tcW w:w="120" w:type="dxa"/>
            <w:vAlign w:val="bottom"/>
          </w:tcPr>
          <w:p>
            <w:pPr>
              <w:spacing w:after="0"/>
              <w:rPr>
                <w:sz w:val="17"/>
                <w:szCs w:val="17"/>
                <w:color w:val="auto"/>
              </w:rPr>
            </w:pPr>
          </w:p>
        </w:tc>
        <w:tc>
          <w:tcPr>
            <w:tcW w:w="15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28,750</w:t>
            </w:r>
          </w:p>
        </w:tc>
        <w:tc>
          <w:tcPr>
            <w:tcW w:w="154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69,820</w:t>
            </w:r>
          </w:p>
        </w:tc>
        <w:tc>
          <w:tcPr>
            <w:tcW w:w="3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9.33</w:t>
            </w:r>
          </w:p>
        </w:tc>
        <w:tc>
          <w:tcPr>
            <w:tcW w:w="13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10/10/2034</w:t>
            </w:r>
          </w:p>
        </w:tc>
      </w:tr>
      <w:tr>
        <w:trPr>
          <w:trHeight w:val="216"/>
        </w:trPr>
        <w:tc>
          <w:tcPr>
            <w:tcW w:w="508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96,056</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175,162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06/30/2034</w:t>
            </w: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19,714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12/11/2035</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L. Feldman, PhD</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91,920</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27,328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65,713</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4/14/2031</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26,449</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64,234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10/10/2034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received by, or earned during fiscal year 2025 by the non-employee directors of our Board.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70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210"/>
              <w:spacing w:after="0" w:line="200" w:lineRule="exact"/>
              <w:rPr>
                <w:sz w:val="20"/>
                <w:szCs w:val="20"/>
                <w:color w:val="auto"/>
              </w:rPr>
            </w:pPr>
            <w:r>
              <w:rPr>
                <w:rFonts w:ascii="Times New Roman" w:cs="Times New Roman" w:eastAsia="Times New Roman" w:hAnsi="Times New Roman"/>
                <w:sz w:val="18"/>
                <w:szCs w:val="18"/>
                <w:b w:val="1"/>
                <w:bCs w:val="1"/>
                <w:color w:val="auto"/>
              </w:rPr>
              <w:t>paid in cash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50"/>
              <w:spacing w:after="0" w:line="200" w:lineRule="exact"/>
              <w:rPr>
                <w:sz w:val="20"/>
                <w:szCs w:val="20"/>
                <w:color w:val="auto"/>
              </w:rPr>
            </w:pPr>
            <w:r>
              <w:rPr>
                <w:rFonts w:ascii="Times New Roman" w:cs="Times New Roman" w:eastAsia="Times New Roman" w:hAnsi="Times New Roman"/>
                <w:sz w:val="18"/>
                <w:szCs w:val="18"/>
                <w:b w:val="1"/>
                <w:bCs w:val="1"/>
                <w:color w:val="auto"/>
              </w:rPr>
              <w:t>compensation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470"/>
              <w:spacing w:after="0" w:line="200" w:lineRule="exact"/>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38"/>
        </w:trPr>
        <w:tc>
          <w:tcPr>
            <w:tcW w:w="570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Todd Foley, MBA</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ind w:right="5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Ken Herrmann, MD</w:t>
            </w:r>
            <w:r>
              <w:rPr>
                <w:rFonts w:ascii="Times New Roman" w:cs="Times New Roman" w:eastAsia="Times New Roman" w:hAnsi="Times New Roman"/>
                <w:sz w:val="24"/>
                <w:szCs w:val="24"/>
                <w:color w:val="auto"/>
                <w:vertAlign w:val="superscript"/>
              </w:rPr>
              <w:t>(2)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Helen S. Kim, MBA</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Andrew Levin, MD, PhD</w:t>
            </w:r>
            <w:r>
              <w:rPr>
                <w:rFonts w:ascii="Times New Roman" w:cs="Times New Roman" w:eastAsia="Times New Roman" w:hAnsi="Times New Roman"/>
                <w:sz w:val="24"/>
                <w:szCs w:val="24"/>
                <w:color w:val="auto"/>
                <w:vertAlign w:val="superscript"/>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Lloyd M. Segal, MBA</w:t>
            </w:r>
            <w:r>
              <w:rPr>
                <w:rFonts w:ascii="Times New Roman" w:cs="Times New Roman" w:eastAsia="Times New Roman" w:hAnsi="Times New Roman"/>
                <w:sz w:val="24"/>
                <w:szCs w:val="24"/>
                <w:color w:val="auto"/>
                <w:vertAlign w:val="superscript"/>
              </w:rPr>
              <w:t>(4)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Mary Thistle</w:t>
            </w:r>
            <w:r>
              <w:rPr>
                <w:rFonts w:ascii="Times New Roman" w:cs="Times New Roman" w:eastAsia="Times New Roman" w:hAnsi="Times New Roman"/>
                <w:sz w:val="24"/>
                <w:szCs w:val="24"/>
                <w:color w:val="auto"/>
                <w:vertAlign w:val="superscript"/>
              </w:rPr>
              <w:t>(5)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31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Mike Sherman, MBA</w:t>
            </w:r>
            <w:r>
              <w:rPr>
                <w:rFonts w:ascii="Times New Roman" w:cs="Times New Roman" w:eastAsia="Times New Roman" w:hAnsi="Times New Roman"/>
                <w:sz w:val="24"/>
                <w:szCs w:val="24"/>
                <w:color w:val="auto"/>
                <w:vertAlign w:val="superscript"/>
              </w:rPr>
              <w:t>(5)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-1136015</wp:posOffset>
            </wp:positionV>
            <wp:extent cx="7132320" cy="9683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125"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Foley, Ms. Kim, Dr. Levin and Mr. Nodelman did not hold any outstanding options or any unvested stock awards.</w:t>
      </w:r>
    </w:p>
    <w:p>
      <w:pPr>
        <w:spacing w:after="0" w:line="3" w:lineRule="exact"/>
        <w:rPr>
          <w:rFonts w:ascii="Times New Roman" w:cs="Times New Roman" w:eastAsia="Times New Roman" w:hAnsi="Times New Roman"/>
          <w:sz w:val="14"/>
          <w:szCs w:val="14"/>
          <w:color w:val="auto"/>
        </w:rPr>
      </w:pPr>
    </w:p>
    <w:p>
      <w:pPr>
        <w:ind w:left="380" w:hanging="372"/>
        <w:spacing w:after="0" w:line="239"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Dr. Herrmann held outstanding options to purchase an aggregate of 127,483 shares of our common stock, and did not hold any other unvested stock awards. The amount reflected in “All other compensation” is the payment received for services Dr. Herrmann provided as the chair of our scientific advisory board during fiscal year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9" w:name="page160"/>
    <w:bookmarkEnd w:id="159"/>
    <w:p>
      <w:pPr>
        <w:ind w:left="380" w:hanging="372"/>
        <w:spacing w:after="0"/>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Levin resigned from our board of directors effective immediately prior to the effectiveness of our registration statement on Form S-1.</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Segal held outstanding options to purchase an aggregate of 81,483 shares of our common stock, and did not hold any other unvested stock awards.</w:t>
      </w:r>
    </w:p>
    <w:p>
      <w:pPr>
        <w:ind w:left="380" w:hanging="372"/>
        <w:spacing w:after="0" w:line="239"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Ms. Thistle and Mr. Sherman held outstanding options to purchase an aggregate of 74,913 shares of our common stock, and did not hold any other unvested stock awards.</w:t>
      </w:r>
    </w:p>
    <w:p>
      <w:pPr>
        <w:spacing w:after="0" w:line="73"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IPO, we adopted a non-employee director compensation policy, which became effective upon completion of the IPO. Under the policy, our non-employee directors are compensated as follows:</w:t>
      </w:r>
    </w:p>
    <w:p>
      <w:pPr>
        <w:spacing w:after="0" w:line="54"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will receive an annual cash retainer of $45,000 ($75,000 for the chair of our board of directors);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audit committee will receive an additional annual cash retainer of $10,000 ($20,000 for the audit committee chair);</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our compensation committee will receive an additional annual cash retainer of $7,500 ($15,000 for our compensation committee chair);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nominating and corporate governance committee will receive an additional annual cash retainer of $5,000 ($10,000 for the nominating and corporate governance committee chair).</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will reimburse our non-employee directors for reasonable out-of-pocket travel and other expenses incurred in connection with attending meetings of our board of directors and any committee of our board of directors on which they serve.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policy, each non-employee director will receive, upon their initial election or appointment to our board of directors, an option to purchase 37,866 shares of our common stock under our 2026 Plan. One-third of each of these options will vest over three years in three equal annual installments, subject to the non-employee director’s continued service as a director.</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 under the policy, beginning on the date of each annual meeting of our stockholders occurring after the first annual meeting of our stockholders, each non-employee director will receive an option to purchase 18,933 shares of our common stock under our 2026 Plan. Each of these options will vest upon the earlier of the first anniversary of the date of grant or the next annual meeting of our stockholders, subject to the non-employee director’s continued service as a director.</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All options issued to our non-employee directors under our non-employee director compensation program will become exercisable in full upon specified change in control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IPO Option Grants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non-employee directors received an option under our 2026 Plan to purchase shares of our common stock in connection with the effectiveness of the IPO. Ken Herrmann, Lloyd M. Segal, Mary Thistle and Michael A. Sherman each received an option to purchase 18,933 shares of our common stock, with an exercise price of $18.00, which was equal to the initial price per share to the public in the IPO, and will vest in full upon the one year anniversary of the grant date, subject to each director’s continued service as a director. Todd Foley, Oleg Nodelman and Helen S. Kim each received an option to purchase 37,866 shares of our common stock, with an exercise price of $18.00, which was equal to the initial price per share to the public in the IPO, and will vest in three years in thirty-six equal monthly installments, subject to each director’s continued service as a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Equity Incentive Plan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2026 Equity Incentive Plan, or 2026 Plan, became effective January 8, 2026 and serves as the successor to the 2020 Plan. The material terms of the 2026 Plan are summarized below. The purpose of the 2026 Plan is to provide incentives for our employees, directors and consultants to exert maximum efforts for the success of the Company and our affiliates and to provide a means by which such persons may be given an opportunity to benefit from increases in value of our common stock through the granting of awards. Upon the effectiveness of the 2026 Plan, no further grants may be made under the 2020 Equity Incentive Plan, or the 2020 Plan.</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2026 Plan provides for the grant of incentive stock options, or ISOs, within the meaning of Section 422 of the Internal Revenue Code of 1986, as amended, or the Code, to our employees and our parent and subsidiary corporations’ employees, and for the grant of nonstatutory stock options, or NSOs, stock appreciation rights, restricted stock awards, restricted stock unit awards and other forms of awards to our employees, directors and consultants and any of our affiliates’ employees and consultants.</w:t>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the maximum number of shares of our common stock that may be issued under the 2026 Plan will not exceed 4,009,452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consisting of any shares of our common stock subject to outstanding stock options or other stock awards granted under the 2020 Plan that, following the effective date of the 2026 Plan, terminate or expire prior to exercise or settlement; are not issued because the award is settled in cash; are forfeited because of the failure to vest; or 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jc w:val="both"/>
        <w:spacing w:after="0" w:line="256" w:lineRule="auto"/>
        <w:rPr>
          <w:sz w:val="20"/>
          <w:szCs w:val="20"/>
          <w:color w:val="auto"/>
        </w:rPr>
      </w:pPr>
      <w:r>
        <w:rPr>
          <w:rFonts w:ascii="Times New Roman" w:cs="Times New Roman" w:eastAsia="Times New Roman" w:hAnsi="Times New Roman"/>
          <w:sz w:val="18"/>
          <w:szCs w:val="18"/>
          <w:color w:val="auto"/>
        </w:rPr>
        <w:t>reacquired or withheld (or not issued) to satisfy a tax withholding obligation or the purchase or exercise price. In addition, the number of shares of our common stock reserved for issuance under the 2026 Plan will automatically increase on January 1 of each year for a period of ten years, beginning on January 1, 2027 and continuing through January 1, 2036, in an amount equal to 5.0% of the total number of shares of our common stock, Class A common stock and any prefunded warrants outstanding on December 31st of the immediately preceding calendar year; provided, however, that our board of directors may act prior to January 1st of a given year to provide that the increase for such year will be a lesser number of shares of our common stock. The maximum number of shares of our common stock that may be issued on the exercise of ISOs under the 2026 Plan is 12,028,356 shares.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Shares subject to awards granted under the 2026 Plan that expire or terminate without being exercised in full will not reduce the number of shares available for issuance under the 2026 Plan. The settlement of any portion of an award in cash will not reduce the number of shares available for issuance under the 2026 Plan. Shares withheld under an award to satisfy the exercise, strike or purchase price of an award or to satisfy a tax withholding obligation will not reduce the number of shares that will be available for issuance under the 2026 Plan. With respect to a stock appreciation right, only shares of our common stock that are issued upon settlement of the stock appreciation right will count towards reducing the number of shares available for issuance under the 2026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2026 Plan.</w:t>
      </w:r>
    </w:p>
    <w:p>
      <w:pPr>
        <w:spacing w:after="0" w:line="7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of directors, will administer the 2026 Plan.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 duly authorized committee of our board of directors, may, in accordance with the terms of the 2026 Plan, delegate to one or more of our officers the authority to (i) designate employees (other than officers) to be recipients of specified awards, and to the extent permitted by applicable law, the terms of such; and (ii) determine the number of shares subject to such awards granted to such employees. Under the 2026 Plan, our board of directors, or a duly authorized committee of our board of directors, have the authority to determine award recipients, how and when each award will be granted; the types of awards to be granted, grant dates, the number of shares subject to each award, the fair market value of our common stock, and the provisions of each award, including the period of exercisability and the vesting schedule applicable to an award. Under the 2026 Plan, (i) our board of directors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affected without the participant’s written consent.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also designated a plan administrator to administer the day-to-day operations of the 2026 Plan.</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will be granted under stock option agreements adopted by the plan administrator. The plan administrator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exercise price for stock options, within the terms and conditions of the 2026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2026 Plan will vest at the rate specified in the stock option agreement as will be determined by the plan administrator. The terms and conditions of separate options need not be identical.</w:t>
      </w:r>
    </w:p>
    <w:p>
      <w:pPr>
        <w:spacing w:after="0" w:line="7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90 days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If a participant is suspended pending investigation of whether his or her service relationship with us or any of our affiliates shall be terminated for cause, the participant’s rights to exercise an option will be suspended during the investigation period.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upon such exercise would violate applicable law, (ii) the immediate sale of any shares issued upon such exercise would violate our trading policy or (iii) our board of directors has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1" w:name="page162"/>
    <w:bookmarkEnd w:id="161"/>
    <w:p>
      <w:pPr>
        <w:jc w:val="both"/>
        <w:spacing w:after="0" w:line="258" w:lineRule="auto"/>
        <w:rPr>
          <w:sz w:val="20"/>
          <w:szCs w:val="20"/>
          <w:color w:val="auto"/>
        </w:rPr>
      </w:pPr>
      <w:r>
        <w:rPr>
          <w:rFonts w:ascii="Times New Roman" w:cs="Times New Roman" w:eastAsia="Times New Roman" w:hAnsi="Times New Roman"/>
          <w:sz w:val="18"/>
          <w:szCs w:val="18"/>
          <w:color w:val="auto"/>
        </w:rPr>
        <w:t>suspended exercisability of such optionholder’s option pending investigation of whether his or her service relationship with us or any of our affiliates shall be terminated for cause,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(i) cash, check, bank draft or money order payable to us; (ii) a broker-assisted cashless exercise; (iii) subject to certain conditions, the tender of shares of our common stock previously owned by the optionholder; (iv) a net exercise of the option if it is an NSO; or (v) other legal consideration approved by the plan administrator.</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or stock appreciation rights generally will not be transferable except by will or the laws of descent and distribution. Subject to approval of the plan administrator or a duly authorized officer, an option may be transferred pursuant to a domestic relations order.</w:t>
      </w:r>
    </w:p>
    <w:p>
      <w:pPr>
        <w:spacing w:after="0" w:line="6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our common stock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Subject to the terms of the 2026 Plan, each restricted stock unit award will have such terms and conditions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plan administrator.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If, at the time of grant, our board of directors determines that a participant must pay consideration upon the issuance of shares pursuant to a restricted stock unit award, such consideration may be paid in any form of legal consideration that may be acceptable to our board of directors and permissible under applicable law. A restricted stock unit award may be settled by cash, delivery of stock (or any combination of our common stock and cash), or in any other form of consideration determined by our board of directors and set forth in the restricted stock unit award agreement. At the time of grant, the plan administrator may impose such restrictions or conditions on the award of restricted stock units that delay delivery to a date following the vesting of the award in a manner intended to comply with Section 409A of the Code, as applicable.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will be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past or future services to us or any of our affiliates, or any other form of legal consideration that may be acceptable to our board of directors and permissible under applicable law. The plan administrator will determine the terms and conditions of restricted stock awards, including vesting and forfeiture terms. Dividends or dividend equivalents may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80"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will be granted under stock appreciation right agreements adopted by the plan administrator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in shares of common stock equivalents.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2026 Plan will vest at the rate specified in the stock appreciation right agreement as will be determined by the plan administrator. Stock appreciation rights may be settled in cash or shares of our common stock (or any combination of our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common stock and cash) or in any other form of payment, as determined by our board of directors and specified in the stock appreciation right agreement.</w:t>
      </w:r>
    </w:p>
    <w:p>
      <w:pPr>
        <w:spacing w:after="0" w:line="11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The plan administrator will determine the term of stock appreciation rights granted under the 2026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If a participant is suspended pending investigation of whether his or her service relationship with us or any of our affiliates shall be terminated for cause, the participant’s rights to exercise a stock appreciation right will be suspended during the investigation period.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(ii) the immediate sale of any shares issued upon such exercise would violate our trading policy or</w:t>
      </w:r>
    </w:p>
    <w:p>
      <w:pPr>
        <w:spacing w:after="0" w:line="11" w:lineRule="exact"/>
        <w:rPr>
          <w:sz w:val="20"/>
          <w:szCs w:val="20"/>
          <w:color w:val="auto"/>
        </w:rPr>
      </w:pPr>
    </w:p>
    <w:p>
      <w:pPr>
        <w:jc w:val="both"/>
        <w:ind w:firstLine="8"/>
        <w:spacing w:after="0" w:line="253" w:lineRule="auto"/>
        <w:tabs>
          <w:tab w:leader="none" w:pos="3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suspended exercisability of such optionholder’s option pending investigation of whether his or her service relationship with us or any of our affiliates shall be terminated for cause,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w:t>
      </w:r>
    </w:p>
    <w:p>
      <w:pPr>
        <w:spacing w:after="0" w:line="7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is permitted to grant other awards, based in whole or in part by reference to, or otherwise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either alone or in addition to other awards. The plan administrator has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following the effective date of the 2026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individual for service as a non-employee director with respect to any fiscal year, including awards granted under the 2026 Plan (valued based on the grant date fair value for financial reporting purposes) and cash fees paid by us to such non-employee director, will not exceed $750,000 in total value, except such amount will increase to $1,000,000 for the year in which a non-employee director is first appointed or elected to our board of directors.</w:t>
      </w:r>
    </w:p>
    <w:p>
      <w:pPr>
        <w:spacing w:after="0" w:line="72"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 as a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our board of directors will appropriately and proportionately adjust (i) the class and maximum number of shares subject to the 2026 Plan;</w:t>
      </w:r>
    </w:p>
    <w:p>
      <w:pPr>
        <w:ind w:right="20" w:firstLine="8"/>
        <w:spacing w:after="0" w:line="260"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maximum number of shares that may be issued on the exercise of ISOs; and (iii) the class and number of shares and exercise price, strike price, or purchase price, if applicable, of all outstanding awards granted under the 2026 Plan.</w:t>
      </w:r>
    </w:p>
    <w:p>
      <w:pPr>
        <w:spacing w:after="0" w:line="7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corporate transaction (as defined below), unless otherwise provided in a participant’s award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written agreement with us or one of our affiliates or unless otherwise expressly provided by the plan administrator at the time of grant, any awards outstanding under the 2026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awards with performance-based vesting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3" w:name="page164"/>
    <w:bookmarkEnd w:id="163"/>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2026 Plan governing a corporate transaction involving us.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2026 Plan, a “corporate transaction” generally is the consummation, in a single transaction or in a series of related transactions, of (i) a sale or other disposition of all or substantially all, as determined by our board of directors,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Awards to be granted under the 2026 Plan may be subject to acceleration of vesting and exercisability upon or after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2026 Plan, a “change in control” generally is: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7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Except as expressly provided in the 2026 Plan or the form of award agreement, awards granted under the 2026 Plan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Clawback/Recovery</w:t>
      </w:r>
      <w:r>
        <w:rPr>
          <w:rFonts w:ascii="Times New Roman" w:cs="Times New Roman" w:eastAsia="Times New Roman" w:hAnsi="Times New Roman"/>
          <w:sz w:val="18"/>
          <w:szCs w:val="18"/>
          <w:color w:val="auto"/>
        </w:rPr>
        <w:t>.  All awards granted under the 2026 Plan are subject to recoupment in accordance with the clawback policy that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In addition, our board of directors may impose such other clawback, recovery or recoupment provisions in an award agreement as our board of directors determines necessary or appropriate, including but not limited to a reacquisition right in respect of previously acquired shares of our common stock or other cash or property upon the occurrence of cause.</w:t>
      </w:r>
    </w:p>
    <w:p>
      <w:pPr>
        <w:spacing w:after="0" w:line="7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Our board of directors may accelerate the time at which an award granted under the 2026 Plan may first be exercised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during which an award grant under the 2026 Plan or any part thereof will vest, notwithstanding the provisions in the award agreement stating the time at which it may first be exercised or the time during which it will vest. Our board of directors will have the authority to amend, suspend, or terminate the 2026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of directors adopts the 2026 Plan. No awards may be granted under the 2026 Plan while it is suspended or after it is terminated.</w:t>
      </w:r>
    </w:p>
    <w:p>
      <w:pPr>
        <w:spacing w:after="0" w:line="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filed a registration statement on Form S-8 with the SEC on January 12, 2026 to register all of the shares of our common stock reserved for issuance under the 2026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2020, our board of directors adopted and our stockholders initially approved the 2020 Plan. No further awards will be made under the 2020 Plan following the completion of our IPO in January 2026; however, awards outstanding under the 2020 Plan will continue to be governed by their existing terms.</w:t>
      </w:r>
    </w:p>
    <w:p>
      <w:pPr>
        <w:spacing w:after="0" w:line="6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As of December 31, 2025, we had reserved 6,185,598 shares of our common stock for issuance under the 2020 Plan.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options to purchase 5,899,875 shares of our common stock, at exercise prices ranging from $0.08 to $11.45 per share, or a weighted-average exercise price of $5.87 per share were outstanding under the 2020 Plan, and 285,723 shares of our common stock remained available for future issuance under the 2020 Plan. Unissued shares subject to awards that expire or terminate for any reason without being exercised in full, or shares issued pursuant to the 2020 Plan that are reacquired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by us at no more than the price at which the shares were previously issued will again become available for issuance under the 2026 Plan.</w:t>
      </w:r>
    </w:p>
    <w:p>
      <w:pPr>
        <w:spacing w:after="0" w:line="11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committee thereof, administered the 2020 Plan from its adoption until the closing of the IPO.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of the IPO, the compensation committee of our board of directors administers the 2020 Plan. The administrator has complete discretion to make all decisions relating to the 2020 Plan and outstanding awards.</w:t>
      </w:r>
    </w:p>
    <w:p>
      <w:pPr>
        <w:spacing w:after="0" w:line="6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non-employees and directors of ours or our affiliates, as well as any other person who our board of directors determines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made (or is expected to make) contributions to us are eligible to participate in the 2020 Plan. However, only employees are eligible to receive incentive stock options.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2020 Plan provided for the following types of awards granted with respect to shares of our common stock:</w:t>
      </w:r>
    </w:p>
    <w:p>
      <w:pPr>
        <w:spacing w:after="0" w:line="119"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 and NSOs to purchase shares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11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exercise price for options granted under the 2020 Plan is determined by our board of directors, but may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our common stock on the grant date (or 110% in the case of ISOs granted to a ten percent stockholder). Optionees may pay the exercise price in cash or cash equivalents or by one, or any combination of, the following forms of payment, as permitted by the administrator in its sole discretion:</w:t>
      </w:r>
    </w:p>
    <w:p>
      <w:pPr>
        <w:spacing w:after="0" w:line="67"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check payable to the order of the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in an award agreement, delivery of shares of our common stock that the optionee already owns;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full-recourse promissory note;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broker-assisted sale of the option shares pursuant to which a creditworthy broker will deliver sufficient funds to the Company to pay the exercise price, if the shares of our common stock are publicly traded;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lawful consideration as our board of directors may determine.</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(or five years after the grant date for ISOs granted to ten percent stockholders), and generally expire earlier if the optionee’s service terminates.</w:t>
      </w:r>
    </w:p>
    <w:p>
      <w:pPr>
        <w:spacing w:after="0" w:line="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Restricted shares were awarded or sold under the 2020 Plan in return for cash or a check for at least the par value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a promissory note or any other form of consideration acceptable to the administrator in its sole discretion, in exchange for services rendered to us, by delivery of a full-recourse promissory note or through any other means permitted by applicable law. Restricted shares vest as determined by the administrator.</w:t>
      </w:r>
    </w:p>
    <w:p>
      <w:pPr>
        <w:spacing w:after="0" w:line="72"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administrator could grant other awards based on our common stock having such terms and conditions that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including stock appreciation rights, phantom stock awards or stock units.</w:t>
      </w:r>
    </w:p>
    <w:p>
      <w:pPr>
        <w:spacing w:after="0" w:line="5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 the event of a change of control (as defined in the 2020 Plan to include the acquisition 50% or more of our voting stock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pursuant to an equity financing, a reorganization, merger or consolidation, a sale of all or substantially all of our stock or assets, or a liquidation or dissolution), unless otherwise provided in an award agreement, our board of directors, in its discretion, will take one or more of the following actions with respect to awards granted under the 2020 Plan:</w:t>
      </w:r>
    </w:p>
    <w:p>
      <w:pPr>
        <w:spacing w:after="0" w:line="74"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assumption of an award by the surviving or acquiring entity;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exchange of any award for the right to participate in any stock option or benefit plan of a successor corporation;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repurchase of an award in exchange for an amount equal to the excess, if any, of the consideration received for a share underlying the award in the change of control over any exercise price per share applicable to the award;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termination of the award immediately prior to the change of control.</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administrator is not obligated to treat all awards in the same manner. The administrator has the discretion, at any time, to provide that an award under the 2020 Plan will vest on an accelerated basis in connection with a corporate transaction or to amend or modify an award so long as such amendment or modification is not inconsistent with the terms of the 2020 Plan or would not result in the impairment of a participant’s rights without the participant’s consent.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5" w:name="page166"/>
    <w:bookmarkEnd w:id="165"/>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Changes in Capitalization</w:t>
      </w:r>
      <w:r>
        <w:rPr>
          <w:rFonts w:ascii="Times New Roman" w:cs="Times New Roman" w:eastAsia="Times New Roman" w:hAnsi="Times New Roman"/>
          <w:sz w:val="18"/>
          <w:szCs w:val="18"/>
          <w:color w:val="auto"/>
        </w:rPr>
        <w:t>.  In the event of certain specified changes in the capital structure of our common stock, such as a stock split, reverse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stock dividend, extraordinary cash dividend, recapitalization, reorganization, merger, consolidation, combination, exchange of shares, liquidation, spin-off, split-up, or other similar change in capitalization or similar event, proportionate adjustments will automatically be made in (i) the number and class of shares, as well as the vesting schedule and exercise price per share subject to each outstanding option, (ii) any repurchase price applicable to shares granted under the 2020 Plan and (iii) any other terms of outstanding awards as determined by the administrator to be appropriate.</w:t>
      </w:r>
    </w:p>
    <w:p>
      <w:pPr>
        <w:spacing w:after="0" w:line="7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Our 2020 Plan terminated on the date that our 2026 Plan became effective. Awards outstanding under the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remain outstanding and will continue to be governed by their existing terms.</w:t>
      </w:r>
    </w:p>
    <w:p>
      <w:pPr>
        <w:spacing w:after="0" w:line="5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filed a registration statement on Form S-8 with the SEC on January 12, 2026 to register all of the shares of our common stock reserved for issuance under the 2026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order to incentivize our employees, our board of directors and stockholders have adopted the 2026 Employee Stock Purchase Plan, or the ESPP, which became effective on January 8, 2026. The material terms of the ESPP are summarized below.</w:t>
      </w:r>
    </w:p>
    <w:p>
      <w:pPr>
        <w:spacing w:after="0" w:line="5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ESPP is to secure the services of new employees, to retain the services of existing employees, and to provide incentives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individuals to exert maximum efforts toward our success and that of our related corporations. The ESPP includes two components. One component is designed to allow eligible U.S. employees to purchase our common stock in a manner that may qualify for favorable tax treatment under Section 423 of the Code, or the 423 Component, and accordingly, it is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permits the grant of purchase rights that do not qualify for such favorable tax treatment, or the Non-423 Component, in order to allow deviations necessary to permit participation by eligible employees who are foreign nationals or employed outside of the United States while complying with applicable foreign laws, and except as otherwise provided in the ESPP or determined by our board of directors, it operates and is administered in the same manner as the 423 Component.</w:t>
      </w:r>
    </w:p>
    <w:p>
      <w:pPr>
        <w:spacing w:after="0" w:line="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Initially, the maximum number of shares of our common stock that may be issued under the ESPP will not exceed 27,843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The number of shares of our common stock reserved for issuance will automatically increase on January 1 of each year for a period of ten years, beginning on January 1, 2027 and ending on (and continuing through) January 1, 2036, in an amount equal to 1.0% of the total number of shares of our common stock, Class A common stock and any prefunded warrants outstanding on December 31st of the immediately preceding calendar year; provided, however, that our compensation committee may act prior to January 1 of a given year to provide that there will be no increase for such calendar year or the increase for such year will be a lesser number of shares than the amount set forth above. For the avoidance of doubt, up to the maximum number of shares of our common stock reserved may be used to satisfy purchases of our common stock under the 423 Component and any remaining portion of such maximum number of shares may be used to satisfy the purchases of our common stock under the Non-423 Component.</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any purchase right granted under the ESPP terminates without having been exercised in full, the shares of our common stock not purchased under such purchase right will again become available for issuance under the ESPP.</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common stock purchasable under the ESPP will be shares of authorized but unissued or reacquired common stock, including shares repurchased by us on the open market.</w:t>
      </w:r>
    </w:p>
    <w:p>
      <w:pPr>
        <w:spacing w:after="0" w:line="5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administers the ESPP. Our board of directors may delegate some or all of the administration of the ESPP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committees of our board of directors. All references to our board of directors in this summary shall include a duly authorized committee of our board of directors except where the context dictates otherwise. Further, to the extent not prohibited by applicable law, our board of directors may, from time to time, delegate some or all of its authority under the ESPP to one or more of our officers or other persons or groups of persons as it deems necessary, appropriate or advisable under conditions or limitations that it may set at or after the time of the delegation. Our board of directors will have the authority to determine how and when purchase rights are granted and the provisions of each offering; to designate, from time to time, which of our related corporations will be eligible to participate in the 423 Component or the Non-423 Component, or which related corporations will be eligible to participate in each separate offering; to construe and interpret the ESPP and purchase rights thereunder, and to establish, amend and revoke rules and regulations for the ESPP’s administration; to settle all controversies regarding the ESPP and purchase rights granted thereunder; to amend, suspend or terminate the ESPP; to exercise such powers and to perform such acts as it deems necessary or expedient to promote the best interests of us and our related corporations and to carry out the intent of the ESPP to be treated as an employee stock purchase plan with respect to the 423 Component; and to adopt such rules, procedures and sub-plans as are necessary or appropriate to permit or facilitate participation in the ESPP by employees who are foreign nationals or employed or located outside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6" w:name="page167"/>
    <w:bookmarkEnd w:id="166"/>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All determinations, interpretations and constructions made by our board of directors in good faith will not be subject to review by any person and will be final, binding and conclusive on all persons.</w:t>
      </w:r>
    </w:p>
    <w:p>
      <w:pPr>
        <w:spacing w:after="0" w:line="5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Our board of directors may grant or provide for the grant of purchase rights to eligible employees under an offering (consisting of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purchase periods) on an offering date or offering dates selected by our board of directors. Each offering will be in the form and will contain those terms and conditions as our board of directors deems appropriate, and, with respect to the 423 Component, will comply with the requirements of Section 423(b)(5) of the Code. The provisions of separate offerings do not need to be identical, but each offering will include the period during which the offering will be effective, which period will not exceed 27 months beginning with the offering date, and the substance of the applicable provisions contained in the ESPP.</w:t>
      </w:r>
    </w:p>
    <w:p>
      <w:pPr>
        <w:spacing w:after="0" w:line="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participant has more than one purchase right outstanding under the ESPP, unless he or she otherwise indicates in forms delivered to us or a third party designee of ours: (i) each form will apply to all of his or her purchase rights under the ESPP,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will have the discretion to structure an offering so that if the fair market value of a share of our common stock on the first trading day of a new purchase period within that offering is less than or equal to the fair market value of a share of our common stock on the first day of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7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Generally, purchase rights may only be granted to employees, including executive officers, employed by us (or by any of our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corporations as designated by our board of directors) on the first day of an offering if such employee has been employed by us or by one of our designated affiliates or related corporations for such continuous period preceding such date as our board of directors may require, but in no event will the required period of continuous employment be equal to or greater than two years with respect to the 423 Component. Our board of directors may (unless prohibited by applicable law) require that employees have to satisfy one or both of the following service requirements with respect to the 423 Component:</w:t>
      </w:r>
    </w:p>
    <w:p>
      <w:pPr>
        <w:spacing w:after="0" w:line="1" w:lineRule="exact"/>
        <w:rPr>
          <w:sz w:val="20"/>
          <w:szCs w:val="20"/>
          <w:color w:val="auto"/>
        </w:rPr>
      </w:pPr>
    </w:p>
    <w:p>
      <w:pPr>
        <w:jc w:val="both"/>
        <w:ind w:firstLine="8"/>
        <w:spacing w:after="0" w:line="251" w:lineRule="auto"/>
        <w:tabs>
          <w:tab w:leader="none" w:pos="2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customarily employed by us, or any of our related corporations or affiliates, for more than 20 hours per week and more than five months per calendar year; or (ii) such other criteria as our board of directors may determine consistent with Section 423 of the Code with respect to the 423 Component. Our board of directors may provide that each person who, during the course of an offering, first becomes an eligible employee will, on the date or dates specified in the offering which coincides with the day on which the person becomes an eligible employee or which occurs thereafter, receive a purchase right under that offering, and the purchase right will thereafter be deemed to be part of the offering with substantially identical characteristics. With respect to the 423 Component, no employee will be eligible for the grant of any purchase rights under the ESPP if immediately after such rights are granted, such employee owns stock possessing five percent or more of the total combined voting power or value of all classes of our outstanding capital stock (or the stock of any related corporation) determined in accordance with the rules of Section 424(d) of the Code. With respect to the 423 Component, as specified by Section 423(b)(8) of the Code, an employee may be granted purchase rights only if such purchase rights, together with any other rights granted under all employee stock purchase plans of ours or any of our related corporations, do not permit such employee’s rights to purchase our stock or the stock of any of our related corporations to accrue at a rate which, when aggregated, exceeds $25,000 (based on the fair market value per share of such common stock on the date that the purchase right is granted) for each calendar year such purchase rights are outstanding at any time. Our board of directors may also exclude from participation in the ESPP or any offering employees of ours, or of any of our related corporation, who are highly compensated employees, as within the meaning of Section 423(b)(4)(D) of the Code, or a subset of such highly compensated employees.</w:t>
      </w:r>
    </w:p>
    <w:p>
      <w:pPr>
        <w:spacing w:after="0" w:line="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Notwithstanding anything in the foregoing paragraph to the contrary, in the case of an offering under the Non-423 Component, an employee (or a group of employees) may be excluded from participation in the ESPP or an offering if our board of directors has determined, in its sole discretion, that participation of such employee is not advisable or practical for any reason.</w:t>
      </w:r>
    </w:p>
    <w:p>
      <w:pPr>
        <w:spacing w:after="0" w:line="6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Purchase Rights; Purchase Price</w:t>
      </w:r>
      <w:r>
        <w:rPr>
          <w:rFonts w:ascii="Times New Roman" w:cs="Times New Roman" w:eastAsia="Times New Roman" w:hAnsi="Times New Roman"/>
          <w:sz w:val="18"/>
          <w:szCs w:val="18"/>
          <w:color w:val="auto"/>
        </w:rPr>
        <w:t>.  On the first day of each offering, each eligible employee, pursuant to an offering made under the ESPP,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 purchase right to purchase up to that number of shares purchasable either with a percentage or with a maximum dollar amount, as designated by our board of directors, which will not exceed 15% of such employee’s earnings (as defined by our board of directors) during each period that begins on the first day of the offering (or such later date as our board of directors determines for a particular offering) and ends on the date stated in the offering, which date will be no later than the end of the offering. Our board of directors will establish one or more purchase dates during an offering on which purchase rights granted for that offering will be exercised and shares of our common stock will be purchased in accordance with such offering. Each eligible employee may purchase of up to $25,000 of shares of our common stock in an offering (or such lesser number of shares determined by our board of directors prior to the start of the offering). Our board of directors may also specify (i) a maximum number of shares that may be purchased by any participant on any purchase date during an offering, (ii) a maximum aggregate number of shares that may be purchased by all participants in an offering and/or (iii) a maximum aggregate number of shares that may be purchased by all participants on any purchase date under an offering. If the aggregate number of shares issuable upon exercise of purchase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7" w:name="page168"/>
    <w:bookmarkEnd w:id="167"/>
    <w:p>
      <w:pPr>
        <w:jc w:val="both"/>
        <w:spacing w:after="0" w:line="266" w:lineRule="auto"/>
        <w:rPr>
          <w:sz w:val="20"/>
          <w:szCs w:val="20"/>
          <w:color w:val="auto"/>
        </w:rPr>
      </w:pPr>
      <w:r>
        <w:rPr>
          <w:rFonts w:ascii="Times New Roman" w:cs="Times New Roman" w:eastAsia="Times New Roman" w:hAnsi="Times New Roman"/>
          <w:sz w:val="18"/>
          <w:szCs w:val="18"/>
          <w:color w:val="auto"/>
        </w:rPr>
        <w:t>granted under the offering would exceed any such maximum aggregate number, then, in the absence of any action by our board of directors otherwise, a pro rata allocation of the shares (rounded down to the nearest whole share) available, based on each participant’s accumulated contributions, will be made in as nearly a uniform manner as will be practicable and equitable.</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purchase price of shares acquired pursuant to purchase rights will not be less than the lesser of (i) 85% of the fair market value of a share of our common stock on the first day of an offering; or (ii) 85% of the fair market value of a share of our common stock on the date of purchase.</w:t>
      </w:r>
    </w:p>
    <w:p>
      <w:pPr>
        <w:spacing w:after="0" w:line="5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Participation; Withdrawal; Termination</w:t>
      </w:r>
      <w:r>
        <w:rPr>
          <w:rFonts w:ascii="Times New Roman" w:cs="Times New Roman" w:eastAsia="Times New Roman" w:hAnsi="Times New Roman"/>
          <w:sz w:val="18"/>
          <w:szCs w:val="18"/>
          <w:color w:val="auto"/>
        </w:rPr>
        <w:t>.  An eligible employee may elect to participate in an offering and authorize payroll deductions as the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making contributions by completing and delivering to us or our designee, within the time specified in the offering, an enrollment form provided by us or our designee. The enrollment form will specify the amount of contributions not to exceed the maximum amount specified by our board of directors, but in any event not to exceed 15% of the eligible employee’s base wages. Each participant’s contributions will be credited to a bookkeeping account for the participant under the ESPP and will be deposited with our general funds except where applicable law requires that contributions be deposited with a third party. If permitted in the offering, a participant may begin such contributions with the first payroll occurring on or after the first day of the applicable offering (or, in the case of a payroll date that occurs after the end of the prior offering but before the first day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us or our designee a withdrawal form provided by us. We may impose a deadline before a purchase date for withdrawing. Upon such withdrawal, such participant’s purchase right in that offering will immediately terminate and we will distribute as soon as practicable to such participant all of his or her accumulated but unused contributions and such participant’s purchase right in that offering shall then terminate. A participant’s withdrawal from that offering will have no effect upon his or her eligibility to participate in any other offerings under the ESPP, but such participant will be required to deliver a new enrollment form to participate in subsequent offerings.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ESPP will terminate immediately if the participant either (i) is no longer an employee for any reason or for no reason (subject to any post-employment participation period required by applicable law) or (ii) is otherwise no longer eligible to participate. We will distribute the individual’s accumulated but unused contributions as soon as practicable to such individual.</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Unless otherwise determined by our board of directors, a participant whose employment transfers or whose employment terminates with an immediate rehire (with no break in service) by or between us and one of our designated companies designated to participate in an offering (or between such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Our board of directors may establish different and additional rules governing transfers between separate offerings within the 423 Component and between offerings under the 423 Component and offerings under the Non-423 Component. Unless otherwise specified in the offering or as required by applicable law, we will have no obligation to pay interest on contributions.</w:t>
      </w:r>
    </w:p>
    <w:p>
      <w:pPr>
        <w:spacing w:after="0" w:line="7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Purchase of Shares</w:t>
      </w:r>
      <w:r>
        <w:rPr>
          <w:rFonts w:ascii="Times New Roman" w:cs="Times New Roman" w:eastAsia="Times New Roman" w:hAnsi="Times New Roman"/>
          <w:sz w:val="18"/>
          <w:szCs w:val="18"/>
          <w:color w:val="auto"/>
        </w:rPr>
        <w:t>.  On each purchase date, each participant’s accumulated contributions will be applied to the purchase of shares, up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number of shares permitted by the ESPP and the applicable offering, at the purchase price specified in the offering. Unless otherwise provided in the offering, if any amount of accumulated contributions remains in a participant’s account after the purchase of shares on the final purchase date of an offering, then such remaining amount will not roll over to the next offering and will instead be distributed in full to such participant after the final purchase date of such offering without interest (unless otherwise required by applicable law). No purchase rights may be exercised to any extent unless the shares of our common stock to be issued upon such exercise under the ESPP are covered by an effective registration statement pursuant to the Securities Act of 1933, as amended, or the Securities Act, and the ESPP is in material compliance with all applicable U.S. federal and state, foreign and other securities, exchange control and other laws applicable to the ESPP. If on a purchase date the shares of our common stock are not so registered or the ESPP is not in such compliance, no purchase rights will be exercised on such purchase date, and the purchase date will be delayed until the shares of our common stock are subject to such an effective registration statement and the ESPP is in material compliance, except that the purchase date will in no event be more than 27 months from the first day of an offering. If, on the purchase date, as delayed to the maximum extent permissible, the shares of our common stock are not registered and the ESPP is not in material compliance with all applicable laws, as determined by us in our sole discretion, no purchase rights will be exercised and all accumulated but unused contributions will be distributed to the ESPP participants without interest (unless the payment of interest is otherwise required by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8" w:name="page169"/>
    <w:bookmarkEnd w:id="16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our common stock subject to purchase rights unless and until the participant’s shares of our common stock acquired upon exercise of purchase rights are recorded in our books (or the books of our transfer agent).</w:t>
      </w:r>
    </w:p>
    <w:p>
      <w:pPr>
        <w:spacing w:after="0" w:line="6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The ESPP provides that in the event of a change in our capital structure through actions such as a stock split,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appropriately and proportionately adjust: (i) the class(es) and maximum number of shares subject to the ESPP; (ii) the class(es) and maximum number of shares by which the share reserve is to increase automatically each year; (iii) the class(es) and number of shares subject to, and purchase price applicable to,</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outstanding offerings and purchase rights; and (iv) the class(es) and number of shares that are subject to purchase limits under each ongoing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will make these adjustments, and its determination will be final, binding and conclusive.</w:t>
      </w:r>
    </w:p>
    <w:p>
      <w:pPr>
        <w:spacing w:after="0" w:line="9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ESPP provides that in the event of a corporate transaction (as defined below), any then-outstanding rights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under the ESPP may be assumed, continued, or substituted for by any surviving or acquiring corporation (or its parent company). If the surviving or acquiring corporation (or its parent company) elects not to assume, continue, or substitute for such purchase rights, then (i) the participants’ accumulated payroll contributions will be used to purchase shares of our common stock (rounded down to the nearest whole share) within 10 business days (or such other period specified by our board of directors) before such corporate transaction under the outstanding purchase rights, and such purchase rights will terminate immediately after such purchase, or (ii) our board of directors, in its discretion, may terminate outstanding offerings, cancel the outstanding purchase rights and refund the participants’ accumulated contributions.</w:t>
      </w:r>
    </w:p>
    <w:p>
      <w:pPr>
        <w:spacing w:after="0" w:line="7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ESPP, a “corporate transaction” is generally the consummation, in a single transaction or in a series of related transactions, of: (i) a sale or other disposition of all or substantially all, as determined by our board of directors,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During a participant’s lifetime, purchase rights will be exercisable only by a participant. Purchase rights are not transferable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except by will, by the laws of descent and distribution, or, if permitted by us, by a beneficiary designation.</w:t>
      </w:r>
    </w:p>
    <w:p>
      <w:pPr>
        <w:spacing w:after="0" w:line="50"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Each participant must make arrangements, satisfactory to us and any applicable related corporation, to enable us or our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to fulfill any withholding obligation for taxes arising out of or in relation to a participant’s participation in the ESPP. In our sole discretion and subject to applicable law, such withholding obligation may be satisfied in whole or in part by (i) withholding from the participant’s salary or any other cash payment due to the participant from us or any related corporation; (ii) withholding from the proceeds of the sale of shares of our common stock acquired under the ESPP, either through a voluntary sale or a mandatory sale arranged by us; or (iii) any other method deemed acceptable by our board of directors. We will not be required to issue any shares of our common stock under the ESPP until such obligations are satisfied.</w:t>
      </w:r>
    </w:p>
    <w:p>
      <w:pPr>
        <w:spacing w:after="0" w:line="7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Amendment, Suspension or Termination</w:t>
      </w:r>
      <w:r>
        <w:rPr>
          <w:rFonts w:ascii="Times New Roman" w:cs="Times New Roman" w:eastAsia="Times New Roman" w:hAnsi="Times New Roman"/>
          <w:sz w:val="18"/>
          <w:szCs w:val="18"/>
          <w:color w:val="auto"/>
        </w:rPr>
        <w:t>.  Our board of directors has the authority to amend, suspend or terminate the ESPP. Any benefits, privileges,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entitlements and obligations under any outstanding purchase right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or (iii) as necessary to obtain or maintain favorable tax, listing, or regulatory treatment. Except with respect to certain changes in our capital structure, stockholder approval is required for any amendment to the ESPP if such approval is required by applicable law or listing requirements. No purchase rights may be granted under the ESPP while it is suspended or after it is terminated.</w:t>
      </w:r>
    </w:p>
    <w:p>
      <w:pPr>
        <w:spacing w:after="0" w:line="7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filed a registration statement on Form S-8 with the SEC on January 12, 2026 to register all of the shares of our common stock reserved for issuance under the 2026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 each case on the same basis as all of our other employees. These employee benefit plans include medical, dental, vision, short- and long-term disability and life and accidental dismemberment insurance plans. We pay a portion of the premiums for the medical, dental, vision and life and accidental death and dismemberment insurance for all of our employees, including our named executive officers. In addition, we provide the opportunity to participate in a 401(k) plan to our employees, including each of our named executive officers, as discussed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9" w:name="page170"/>
    <w:bookmarkEnd w:id="169"/>
    <w:p>
      <w:pPr>
        <w:ind w:left="38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From time to time, we grant equity awards, including stock options, to our employees, including our named executive officers. Our typical practice is to grant employee stock options on the first business day of the month following the month in which the options are approved (or on the same day of approval if such approval is on the first business day of a month). We typically grant annual refresh employee option grants in the first quarter of each fiscal year, which refresh grants are typically approved at a regularly scheduled meeting of the Compensation Committee occurring in such quarter. In addition, non-employee directors receive automatic grants of initial and annual stock option awards, at the time of a director’s initial appointment or election to the board and at the time of each annual meeting of our stockholders, respectively, pursuant to our non-employee director compensation policy, as further described under the heading, “Non-Employee Director Compensation”. We do not otherwise maintain any written policies on the timing of awards of stock options, stock appreciation rights, or similar instruments with option-like features. The Compensation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adopted a compensation recovery policy that became effective upon the closing of the IPO, that applies to our officers. Under the Sarbanes-Oxley Act of 2022, in the event of misconduct that results in a financial restatement that would have reduced a previously paid incentive amount, we can recoup those improper payments from our chief executive officer and chief financial officer. The SEC also recently adopted rules which direct national stock exchanges to require listed companies to implement policies intended to recoup bonuses paid to executives if the company is found to have misstated its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or Restated Charter, which became effective immediately prior to the completion of the IPO,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72"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unlawful payments of dividends or unlawful stock repurchases or redemptions;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officer, derivative claims brought on behalf of the corporation by a stockholder;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Charter authorizes us to indemnify our directors, officers, employees and other agents to the fullest extent permitted by Delaware law. Our amended and restated bylaws, or Restated Bylaws, provide that we are required to indemnify our directors and officers to the fullest extent permitted by Delaware law and may indemnify our other employees and agents. Our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that these Restated Charter and Restated Bylaw provisions and indemnification agreements are necessary to attract and retain qualified persons as directors and officers. We also maintain customary directors’ and officers’ liability insurance.</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Charter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0" w:name="page171"/>
    <w:bookmarkEnd w:id="17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of directors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capital stock as of March 10, 2026:</w:t>
      </w:r>
    </w:p>
    <w:p>
      <w:pPr>
        <w:spacing w:after="0" w:line="117"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Percentage ownership of our common stock is based on 53,403,173 shares of common stock outstanding as of March 10, 2026. In computing the number of shares beneficially owned by an individual or entity and the percentage ownership of that person, shares of common stock subject to options held by such person that are currently exercisable or will become exercisable within 60 days of March 10, 2026, are considered outstanding, although these shares are not considered outstanding for purposes of computing the percentage ownership of any other person. Unless noted otherwise, the address of all listed stockholders is c/o 17 Drydock Avenue, Suite 17-401, Boston, Massachusetts 02210.</w:t>
      </w:r>
    </w:p>
    <w:p>
      <w:pPr>
        <w:spacing w:after="0" w:line="8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10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0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shares of Class A</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Entities affiliated with MPM BioImpact LLC</w:t>
            </w:r>
            <w:r>
              <w:rPr>
                <w:rFonts w:ascii="Times New Roman" w:cs="Times New Roman" w:eastAsia="Times New Roman" w:hAnsi="Times New Roman"/>
                <w:sz w:val="24"/>
                <w:szCs w:val="24"/>
                <w:color w:val="auto"/>
                <w:vertAlign w:val="superscript"/>
              </w:rPr>
              <w:t>(1)</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10,260,064</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Eli Lilly and Company</w:t>
            </w:r>
            <w:r>
              <w:rPr>
                <w:rFonts w:ascii="Times New Roman" w:cs="Times New Roman" w:eastAsia="Times New Roman" w:hAnsi="Times New Roman"/>
                <w:sz w:val="24"/>
                <w:szCs w:val="24"/>
                <w:color w:val="auto"/>
                <w:vertAlign w:val="superscript"/>
              </w:rPr>
              <w:t>(2)</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6,344,114</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Entities affiliated with VV Manager II, LLC</w:t>
            </w:r>
            <w:r>
              <w:rPr>
                <w:rFonts w:ascii="Times New Roman" w:cs="Times New Roman" w:eastAsia="Times New Roman" w:hAnsi="Times New Roman"/>
                <w:sz w:val="24"/>
                <w:szCs w:val="24"/>
                <w:color w:val="auto"/>
                <w:vertAlign w:val="superscript"/>
              </w:rPr>
              <w:t>(3)</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5,829,212</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4"/>
                <w:szCs w:val="24"/>
                <w:color w:val="auto"/>
                <w:vertAlign w:val="superscript"/>
              </w:rPr>
              <w:t>(4)</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4,824,469</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1,051,412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Matthew Roden, PhD</w:t>
            </w:r>
            <w:r>
              <w:rPr>
                <w:rFonts w:ascii="Times New Roman" w:cs="Times New Roman" w:eastAsia="Times New Roman" w:hAnsi="Times New Roman"/>
                <w:sz w:val="24"/>
                <w:szCs w:val="24"/>
                <w:color w:val="auto"/>
                <w:vertAlign w:val="superscript"/>
              </w:rPr>
              <w:t>(5)</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1,403,522</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Akos Czibere, MD, PhD</w:t>
            </w:r>
            <w:r>
              <w:rPr>
                <w:rFonts w:ascii="Times New Roman" w:cs="Times New Roman" w:eastAsia="Times New Roman" w:hAnsi="Times New Roman"/>
                <w:sz w:val="24"/>
                <w:szCs w:val="24"/>
                <w:color w:val="auto"/>
                <w:vertAlign w:val="superscript"/>
              </w:rPr>
              <w:t>(6)</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163,325</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Paul L. Feldman, PhD</w:t>
            </w:r>
            <w:r>
              <w:rPr>
                <w:rFonts w:ascii="Times New Roman" w:cs="Times New Roman" w:eastAsia="Times New Roman" w:hAnsi="Times New Roman"/>
                <w:sz w:val="24"/>
                <w:szCs w:val="24"/>
                <w:color w:val="auto"/>
                <w:vertAlign w:val="superscript"/>
              </w:rPr>
              <w:t>(7)</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429,374</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Todd Foley, MBA</w:t>
            </w:r>
            <w:r>
              <w:rPr>
                <w:rFonts w:ascii="Times New Roman" w:cs="Times New Roman" w:eastAsia="Times New Roman" w:hAnsi="Times New Roman"/>
                <w:sz w:val="24"/>
                <w:szCs w:val="24"/>
                <w:color w:val="auto"/>
                <w:vertAlign w:val="superscript"/>
              </w:rPr>
              <w:t>(8)</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4,239,610</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Ken Herrmann, MD</w:t>
            </w:r>
            <w:r>
              <w:rPr>
                <w:rFonts w:ascii="Times New Roman" w:cs="Times New Roman" w:eastAsia="Times New Roman" w:hAnsi="Times New Roman"/>
                <w:sz w:val="24"/>
                <w:szCs w:val="24"/>
                <w:color w:val="auto"/>
                <w:vertAlign w:val="superscript"/>
              </w:rPr>
              <w:t>(9)</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84,302</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Helen S. Kim, MBA</w:t>
            </w:r>
            <w:r>
              <w:rPr>
                <w:rFonts w:ascii="Times New Roman" w:cs="Times New Roman" w:eastAsia="Times New Roman" w:hAnsi="Times New Roman"/>
                <w:sz w:val="24"/>
                <w:szCs w:val="24"/>
                <w:color w:val="auto"/>
                <w:vertAlign w:val="superscript"/>
              </w:rPr>
              <w:t>(10)</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5,833,419</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4"/>
                <w:szCs w:val="24"/>
                <w:color w:val="auto"/>
                <w:vertAlign w:val="superscript"/>
              </w:rPr>
              <w:t>(11)</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4,828,676</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1,051,412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Lloyd M. Segal, MBA</w:t>
            </w:r>
            <w:r>
              <w:rPr>
                <w:rFonts w:ascii="Times New Roman" w:cs="Times New Roman" w:eastAsia="Times New Roman" w:hAnsi="Times New Roman"/>
                <w:sz w:val="24"/>
                <w:szCs w:val="24"/>
                <w:color w:val="auto"/>
                <w:vertAlign w:val="superscript"/>
              </w:rPr>
              <w:t>(12)</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88,080</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Michael A. Sherman</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Mary Thistle </w:t>
            </w:r>
            <w:r>
              <w:rPr>
                <w:rFonts w:ascii="Times New Roman" w:cs="Times New Roman" w:eastAsia="Times New Roman" w:hAnsi="Times New Roman"/>
                <w:sz w:val="24"/>
                <w:szCs w:val="24"/>
                <w:color w:val="auto"/>
                <w:vertAlign w:val="superscript"/>
              </w:rPr>
              <w:t>(13)</w:t>
            </w: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All current executive officers and directors as a group (13 persons)</w:t>
            </w:r>
            <w:r>
              <w:rPr>
                <w:rFonts w:ascii="Times New Roman" w:cs="Times New Roman" w:eastAsia="Times New Roman" w:hAnsi="Times New Roman"/>
                <w:sz w:val="24"/>
                <w:szCs w:val="24"/>
                <w:color w:val="auto"/>
                <w:vertAlign w:val="superscript"/>
              </w:rPr>
              <w:t>(14)</w:t>
            </w:r>
          </w:p>
        </w:tc>
        <w:tc>
          <w:tcPr>
            <w:tcW w:w="2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17,630,335</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1,051,412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648"/>
        </w:trPr>
        <w:tc>
          <w:tcPr>
            <w:tcW w:w="5320" w:type="dxa"/>
            <w:vAlign w:val="bottom"/>
          </w:tcPr>
          <w:p>
            <w:pPr>
              <w:spacing w:after="0"/>
              <w:rPr>
                <w:sz w:val="24"/>
                <w:szCs w:val="24"/>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color w:val="auto"/>
        </w:rPr>
        <w:t>* Represents beneficial ownership of less than one percent.</w:t>
      </w:r>
    </w:p>
    <w:p>
      <w:pPr>
        <w:spacing w:after="0" w:line="96" w:lineRule="exact"/>
        <w:rPr>
          <w:sz w:val="20"/>
          <w:szCs w:val="20"/>
          <w:color w:val="auto"/>
        </w:rPr>
      </w:pPr>
    </w:p>
    <w:p>
      <w:pPr>
        <w:jc w:val="both"/>
        <w:ind w:left="380" w:hanging="372"/>
        <w:spacing w:after="0" w:line="222"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with the SEC on January 20, 2026. Consists of (i) 341,709 shares of common stock held by MPM Asset Management LLC, (ii) 3,950,528 shares of common stock held by MPM Asset Management Investors BV2018 LLC, or MPM BV2018, (iii) 206,964 shares of common stock held by MPM BioVentures 2018(B), L.P., or MPM 2018(B) (iv) 77,911 shares of common stock held by MPM BioVentures 2018, L.P., or MPM BioVentures 2018, (v) 847,080 shares of common stock held by MPM Oncology Innovations Fund, L.P., or MPM Oncology, and (vi) 4,835,872 shares of common stock held by Oncology Impact Private Investment Fund 2, L.P., or MPM Oncology Impact. MPM Asset Management LLC, MPM BV2018, MPM 2018(B), MPM BioVentures 2018, MPM Oncology and MPM Oncology Impact are collectively referred to as the MPM BioImpact Entities. Todd Foley, a member of our board of directors, Luke Evnin and Ansbert Gadicke are the Managing Directors of MPM BioVentures 2018 LLC, or BV2018 LLC. BV2018 LLC is the Managing Member of MPM BioVentures 2018 GP LLC, which is the General Partner of MPM BioVentures 2018 and MPM 2018 (B) and the Manager of MPM BV2018. Each of Dr. Evnin, Dr. Gadicke, and Mr. Foley shares power to vote, acquire, hold and dispose of the shares held by each of the BV2018 funds. MPM Oncology Innovations Fund GP LLC is the General Partner of MPM Oncology. Ansbert Gadicke and Luke Evnin are Managers of MPM Oncology Innovations Fund GP LLC and share the power to vote, acquire, hold and dispose of all shares owned by the fund along with designated agents. MPM Oncology Investments 2 LLC is the General Partner of MPM Oncology Impact. Ansbert Gadicke is the Managing Member of MPM Oncology Investments 2 LLC and has sole authority to designate agents. If agents are designated, he shares the power to vote, acquire, hold and dispose of all shares owned by MPM Oncology Impact with such designated agents. MPM Asset Management LLC is the Management Company of the BV2018 family of funds and the MPM Oncology Fund. Ansbert Gadicke is the Manager of MPM Asset Management LLC and has the primary decision-making power to vote, acquire, hold and dispose of all shares owned. MPM BioImpact LLC is the Management Company of MPM Oncology Impact. Each of the entities and individuals listed above expressly disclaims beneficial ownership of the securities listed above except to the extent of any pecuniary interest therein. The address of each of the MPM BioImpact Entities is 399 Boylston Street, Suite 1100, Boston, Massachusetts 02116.</w:t>
      </w:r>
    </w:p>
    <w:p>
      <w:pPr>
        <w:spacing w:after="0" w:line="9"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with the SEC on January 15, 2026. Consists of 6,344,114 shares of common stock held directly by Eli Lilly and Company.</w:t>
      </w: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with the SEC on January 14, 2026. Consists of (i) 5,671,825 shares of common stock held by Vida Ventures II, LLC, or Vida II, and (ii) 157,387 shares of common stock held by Vida Ventures II-A, LLC, or Vida II-A. Vida II and Vida II-A are collectively referred to as the Vida Ventures Funds. VV Manager II, LLC, or VV Manager is the manager of the Vida Ventures Funds and may be deemed to have voting, investment and dispositive power with respect to the shares held by each of the Vida Ventures Funds. Arie Belldegrun, Fred Cohen, and Leonard Potter, the members of the management committee of VV Manager II, along with the other members of the investment committee, Rajul Jain, Joshua Kazam, and Helen S. Kim, a member of our board of directors, may be deemed to share voting and dispositive power over the shares held by the Vida Ventures Funds. The principal business address of the VV Manager II, LLC is 40 Broad Street, Suite 201, Boston, Massachusetts, 02109.</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with the SEC on January 20, 2026. Consists of (i) 4,348,658 shares of common stock held by EcoR1 Capital Fund Qualified, L.P., or Qualified Fund, (ii) 965,190 shares of Class A common stock held by Qualified Fund, (iii) 347,305 shares of common stock held by EcoR1 Capital Fund, L.P., or Capital Fund, (iv) 86,222 shares of Class A common stock held by Capital Fund, and (v) 128,506 shares of common stock held by EcoR1 Venture Opportunity Fund, L.P., or Venture Fund. The Qualified Fund, the Capital Fund and the Venture Fund are collectively referred to as the EcoR1 Capital Funds. The EcoR1 Capital Funds are managed by EcoR1 Capital, LLC, which is managed by Oleg Nodelman, a member of our board of directors, and as a result may be deemed to have voting and dispositive power over the securities held by these funds. The business address of EcoR1 Capital, LLC is 357 Tehama Street, #3, San Francisco, California 94103.</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91,998 shares of common stock and (ii) 1,311,534 shares of common stock underlying outstanding stock options exercisable within 60 days of March 10, 2026.</w:t>
      </w: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163,325 shares of common stock underlying outstanding stock options exercisable within 60 days of March 10, 2026.</w:t>
      </w: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144,568 shares of common stock and (ii) 284,806 shares of common stock underlying outstanding stock options exercisable within 60 days of March 10, 2026.</w:t>
      </w: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4,235,403 shares of common stock held by BV2018LLC and (ii) 4,207 shares of common stock underlying outstanding stock options exercisable within 60 days of March 10, 2026. Todd Foley is a Managing Director of BV2018 LLC. BV2018 LLC is the Managing Member of MPM BioVentures 2018 GP LLC, which is the General Partner of MPM BioVentures 2018, L.P., and MPM BioVentures 2018(B), L.P. and the Manager of MPM Asset Management Investors BV2018 LLC, collectively the BV2018 funds. Mr. Foley shares power to vote, acquire, hold and dispose of the shares held by each of the BV2018 funds with the other Managing Directors of BV2018, Dr. Luke Evnin, Dr. Ansbert Gadicke. Each of the individuals listed above expressly disclaims beneficial ownership of the securities listed above except to the extent of any pecuniary interest therein. The address of each of the BV2018 funds is 399 Boylston Street, Suite 1100, Boston, Massachusetts 02116.</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84,302 shares of common stock underlying outstanding stock options exercisable within 60 days of March 10, 2026.</w:t>
      </w: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5,829,212 shares of common stock held by the Vida Ventures Funds and (ii) 4,207 shares of common stock underlying outstanding stock options exercisable within 60 days of March 10, 2026. Helen S. Kim is a senior managing director of the Vida Ventures Funds and may be deemed to share voting and dispositive power over the shares held by the Vida Ventures Funds.</w:t>
      </w: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4,824,469 shares of common stock held by the EcoR1 Capital Funds, (ii) 1,051,412 shares of Class A common stock held by the EcoR1 Capital Funds and (iii) 4,207 shares of common stock underlying outstanding stock options exercisable within 60 days of March 10, 2026. The EcoR1 Capital Funds are managed by EcoR1 Capital, LLC, which is managed by Oleg Nodelman and as a result he may be deemed to have voting and dispositive power over the securities held by the EcoR1 Capital Funds.</w:t>
      </w:r>
    </w:p>
    <w:p>
      <w:pPr>
        <w:jc w:val="both"/>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19,631 shares of common stock issuable held by Arvala, Inc. and (ii) 68,449 shares of common stock underlying outstanding stock options exercisable within 60 days of March 10, 2026. Lloyd M. Segal is the president of Arvala, Inc. and as a result may be deemed to have voting and dispositive power over the securities held by Arvala, Inc. The business address of Arvala, Inc. is 1681 McGill College, Suite 1200, Montreal Quebec H3A0G6, Canada.</w:t>
      </w:r>
    </w:p>
    <w:p>
      <w:pPr>
        <w:ind w:left="380" w:hanging="372"/>
        <w:spacing w:after="0" w:line="221"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23,410 shares of common stock underlying outstanding stock options exercisable within 60 days of March 10, 2026.</w:t>
      </w:r>
    </w:p>
    <w:p>
      <w:pPr>
        <w:ind w:left="380" w:hanging="372"/>
        <w:spacing w:after="0" w:line="239" w:lineRule="auto"/>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15,145,281 shares of common stock, (ii) 1,051,412 shares of Class A common stock and (iii) 2,485,054 shares of common stock underlying outstanding stock options exercisable within 60 days of March 10,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our equity compensation plans in effect 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20" w:type="dxa"/>
            <w:vAlign w:val="bottom"/>
          </w:tcPr>
          <w:p>
            <w:pPr>
              <w:spacing w:after="0"/>
              <w:rPr>
                <w:sz w:val="18"/>
                <w:szCs w:val="18"/>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18"/>
                <w:szCs w:val="18"/>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0" w:type="dxa"/>
            <w:vAlign w:val="bottom"/>
          </w:tcPr>
          <w:p>
            <w:pPr>
              <w:spacing w:after="0"/>
              <w:rPr>
                <w:sz w:val="18"/>
                <w:szCs w:val="18"/>
                <w:color w:val="auto"/>
              </w:rPr>
            </w:pP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reflected</w:t>
            </w:r>
          </w:p>
        </w:tc>
        <w:tc>
          <w:tcPr>
            <w:tcW w:w="0" w:type="dxa"/>
            <w:vAlign w:val="bottom"/>
          </w:tcPr>
          <w:p>
            <w:pPr>
              <w:spacing w:after="0"/>
              <w:rPr>
                <w:sz w:val="1"/>
                <w:szCs w:val="1"/>
                <w:color w:val="auto"/>
              </w:rPr>
            </w:pPr>
          </w:p>
        </w:tc>
      </w:tr>
      <w:tr>
        <w:trPr>
          <w:trHeight w:val="23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2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options (a)</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stock options (b)</w:t>
            </w:r>
          </w:p>
        </w:tc>
        <w:tc>
          <w:tcPr>
            <w:tcW w:w="120" w:type="dxa"/>
            <w:vAlign w:val="bottom"/>
          </w:tcPr>
          <w:p>
            <w:pPr>
              <w:spacing w:after="0"/>
              <w:rPr>
                <w:sz w:val="20"/>
                <w:szCs w:val="20"/>
                <w:color w:val="auto"/>
              </w:rPr>
            </w:pPr>
          </w:p>
        </w:tc>
        <w:tc>
          <w:tcPr>
            <w:tcW w:w="2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column (a)) (c)</w:t>
            </w: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6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4"/>
                <w:szCs w:val="24"/>
                <w:color w:val="auto"/>
                <w:vertAlign w:val="superscript"/>
              </w:rPr>
              <w:t>(1)</w:t>
            </w:r>
          </w:p>
        </w:tc>
        <w:tc>
          <w:tcPr>
            <w:tcW w:w="2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5,899,875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2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285,723</w:t>
            </w:r>
          </w:p>
        </w:tc>
        <w:tc>
          <w:tcPr>
            <w:tcW w:w="0" w:type="dxa"/>
            <w:vAlign w:val="bottom"/>
          </w:tcPr>
          <w:p>
            <w:pPr>
              <w:spacing w:after="0"/>
              <w:rPr>
                <w:sz w:val="1"/>
                <w:szCs w:val="1"/>
                <w:color w:val="auto"/>
              </w:rPr>
            </w:pPr>
          </w:p>
        </w:tc>
      </w:tr>
      <w:tr>
        <w:trPr>
          <w:trHeight w:val="198"/>
        </w:trPr>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 w:type="dxa"/>
            <w:vAlign w:val="bottom"/>
          </w:tcPr>
          <w:p>
            <w:pPr>
              <w:spacing w:after="0"/>
              <w:rPr>
                <w:sz w:val="17"/>
                <w:szCs w:val="17"/>
                <w:color w:val="auto"/>
              </w:rPr>
            </w:pPr>
          </w:p>
        </w:tc>
        <w:tc>
          <w:tcPr>
            <w:tcW w:w="2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5,899,875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2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285,723</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111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p>
      <w:pPr>
        <w:jc w:val="both"/>
        <w:ind w:left="380" w:hanging="372"/>
        <w:spacing w:after="0" w:line="220"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Consists of our 2020 Equity Incentive Plan, or the 2020 Plan. The 2026 Equity Incentive Plan, or 2026 Plan, and 2026 Employee Stock Purchase Plan became effective upon the completion of our initial public offering. Following the effectiveness of our 2026 Plan, no further grants will be made under our 2020 Plan. Any outstanding awards granted under our 2020 Plan will remain subject to the terms of our 2020 Plan and applicable award agreements.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2024 to which we have been a participant in which the amount involved exceeded or will exceed the lesser of (i) $120,000 or (ii) 1% of the average of our total assets as of each of December 31, 2024 and 2025, and in which any of our directors, executive officers or holders of 5% or more of any class of our capital stock, or any members of their immediately family or affiliated entities, had or will have a direct or indirect material interest, other than compensation arrangements that are described under Part III, Item 11, “Executive Compensation”,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January 12, 2026, we closed our IPO pursuant to which we issued and sold an aggregate of 20,297,500 shares of common stock, which included the full exercise by the underwriters of their option to purchase 2,647,500 additional shares at a price to the public of $18.00 per share. The following table sets forth the aggregate cash purchase price of the common stock purchased by our directors, executive officers and 5% stockholders and their affiliates and the number of shares of our common stock issued in consideration of such amounts. Such purchases were made through the underwriters at the initial public offering price of $18.00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38"/>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75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Entities affiliated with MPM BioImpact LLC</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1,112,777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20,029,986.00</w:t>
            </w: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VV Manager II, LLC</w:t>
            </w:r>
            <w:r>
              <w:rPr>
                <w:rFonts w:ascii="Times New Roman" w:cs="Times New Roman" w:eastAsia="Times New Roman" w:hAnsi="Times New Roman"/>
                <w:sz w:val="24"/>
                <w:szCs w:val="24"/>
                <w:color w:val="auto"/>
                <w:vertAlign w:val="superscript"/>
              </w:rPr>
              <w:t>(2)</w:t>
            </w:r>
          </w:p>
        </w:tc>
        <w:tc>
          <w:tcPr>
            <w:tcW w:w="1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835,000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15,030,000.00</w:t>
            </w: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2,222,222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39,999,996.00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Blue Owl Capital Holdings LP</w:t>
            </w:r>
          </w:p>
        </w:tc>
        <w:tc>
          <w:tcPr>
            <w:tcW w:w="1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277,777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4,999,986.00</w:t>
            </w: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RA Capital Management, L.P.</w:t>
            </w:r>
            <w:r>
              <w:rPr>
                <w:rFonts w:ascii="Times New Roman" w:cs="Times New Roman" w:eastAsia="Times New Roman" w:hAnsi="Times New Roman"/>
                <w:sz w:val="24"/>
                <w:szCs w:val="24"/>
                <w:color w:val="auto"/>
                <w:vertAlign w:val="superscript"/>
              </w:rPr>
              <w:t>(4)</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277,777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4,999,986.00</w:t>
            </w:r>
          </w:p>
        </w:tc>
      </w:tr>
    </w:tbl>
    <w:p>
      <w:pPr>
        <w:spacing w:after="0" w:line="193" w:lineRule="exact"/>
        <w:rPr>
          <w:sz w:val="20"/>
          <w:szCs w:val="20"/>
          <w:color w:val="auto"/>
        </w:rPr>
      </w:pPr>
    </w:p>
    <w:p>
      <w:pPr>
        <w:jc w:val="both"/>
        <w:ind w:left="380" w:hanging="372"/>
        <w:spacing w:after="0" w:line="224" w:lineRule="auto"/>
        <w:tabs>
          <w:tab w:leader="none" w:pos="3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219,897 shares of common stock held by MPM BioVentures 2018, L.P., (ii) 8,689 shares of common stock held by MPM BioVentures 2018 (B), L.P., (iii) 4,284 shares of common stock held by MPM Asset Management Investors BV2018 LLC, (iv) 833,333 shares of common stock held by Oncology Impact Private Investment Fund 2, L.P., and (v) 46,574 shares of common stock held by MPM Oncology Innovations Fund, L.P. Matthew Roden, our President and Chief Executive Officer and a member of our board of directors, is an entrepreneur partner at MPM BioImpact LLC. Todd Foley, a member of our board of directors, is a managing director of MPM BioVentures 2018 LLC, or BV2018 LLC. BV2018 LLC is the Managing Member of MPM BioVentures 2018 GP LLC, which is the General Partner of MPM BioVentures 2018, L.P., and MPM BioVentures 2018(B), L.P. and the Manager of MPM Asset Management Investors BV2018 LLC. Entities affiliated with MPM BioImpact LLC collectively hold more than 5% of our voting securities. MPM BioImpact LLC consists of affiliated entities MPM Asset Management LLC and MPM BioImpact LLC.</w:t>
      </w:r>
    </w:p>
    <w:p>
      <w:pPr>
        <w:spacing w:after="0" w:line="3"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812,455 shares of common stock held by Vida Ventures II, LLC, or Vida II, and (ii) 22,545 shares of common stock held by Vida Ventures II-A, LLC, or Vida II-A. Vida II and Vida II are collectively referred to as the Vida Ventures Funds. Helen S. Kim, a member of our board of directors, is a senior managing director of the Vida Ventures Funds. Entities affiliated with VV Manager II, LLC collectively hold more than 5% of our voting securities.</w:t>
      </w:r>
    </w:p>
    <w:p>
      <w:pPr>
        <w:jc w:val="both"/>
        <w:ind w:left="380" w:hanging="372"/>
        <w:spacing w:after="0" w:line="221" w:lineRule="auto"/>
        <w:tabs>
          <w:tab w:leader="none" w:pos="3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144,443 shares of common stock held by EcoR1 Capital Fund, L.P., or Capital Fund, and (ii) 2,077,779 shares of common stock held by EcoR1 Capital Fund Qualified, L.P., or Qualified Fund. The Capital Fund and the Qualified Fund are collectively referred to as the EcoR1 Capital Funds. Oleg Nodelman a member of our board of directors, is the founder and portfolio manager of the EcoR1 Capital Funds. Entities affiliated with EcoR1 Capital, LLC collectively hold more than 5% of our voting securities.</w:t>
      </w:r>
    </w:p>
    <w:p>
      <w:pPr>
        <w:ind w:left="380" w:hanging="372"/>
        <w:spacing w:after="0" w:line="239" w:lineRule="auto"/>
        <w:tabs>
          <w:tab w:leader="none" w:pos="3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Levin, was a member of our board of directors and is a managing director of funds affiliated with RA Capital Management, L.P.. Andrew Levin resigned from our board of directors immediately prior to the effectiveness of our registration statement on Form S-1.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Redeemable Convertible Preferred Stock Financing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September 2024, we entered into a preferred stock purchase agreement with certain investors pursuant to which we issued and sold an aggregate of 43,750,000 shares of our Series B redeemable convertible preferred stock at a purchase price of $4.00 per share for aggregate gross proceeds of $175.0 million. Each share of our Series B redeemable convertible preferred stock converted into shares of common stock or Class A common stock immediately prior to the completion of our IPO.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4" w:name="page175"/>
    <w:bookmarkEnd w:id="17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table below sets forth the aggregate number of shares of Series B redeemable convertible preferred stock purchased by holders of more than 5% of our capital stock as of the date of the closing of the Series B redeemable convertible preferred stock financing and entities affiliated with certain of our executive officers and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38"/>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75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Entities affiliated with MPM BioImpact LLC</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24,000,000.00</w:t>
            </w: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VV Manager II, LLC</w:t>
            </w:r>
            <w:r>
              <w:rPr>
                <w:rFonts w:ascii="Times New Roman" w:cs="Times New Roman" w:eastAsia="Times New Roman" w:hAnsi="Times New Roman"/>
                <w:sz w:val="24"/>
                <w:szCs w:val="24"/>
                <w:color w:val="auto"/>
                <w:vertAlign w:val="superscript"/>
              </w:rPr>
              <w:t>(2)</w:t>
            </w:r>
          </w:p>
        </w:tc>
        <w:tc>
          <w:tcPr>
            <w:tcW w:w="1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3,750,000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15,000,000.00</w:t>
            </w: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10,000,000.00</w:t>
            </w: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Blue Owl Capital Holdings LP</w:t>
            </w:r>
            <w:r>
              <w:rPr>
                <w:rFonts w:ascii="Times New Roman" w:cs="Times New Roman" w:eastAsia="Times New Roman" w:hAnsi="Times New Roman"/>
                <w:sz w:val="24"/>
                <w:szCs w:val="24"/>
                <w:color w:val="auto"/>
                <w:vertAlign w:val="superscript"/>
              </w:rPr>
              <w:t>(4)</w:t>
            </w:r>
          </w:p>
        </w:tc>
        <w:tc>
          <w:tcPr>
            <w:tcW w:w="1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4,250,000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17,000,000.00</w:t>
            </w: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RA Capital Management, L.P.</w:t>
            </w:r>
            <w:r>
              <w:rPr>
                <w:rFonts w:ascii="Times New Roman" w:cs="Times New Roman" w:eastAsia="Times New Roman" w:hAnsi="Times New Roman"/>
                <w:sz w:val="24"/>
                <w:szCs w:val="24"/>
                <w:color w:val="auto"/>
                <w:vertAlign w:val="superscript"/>
              </w:rPr>
              <w:t>(5)</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20,000,000.00</w:t>
            </w:r>
          </w:p>
        </w:tc>
      </w:tr>
    </w:tbl>
    <w:p>
      <w:pPr>
        <w:spacing w:after="0" w:line="193" w:lineRule="exact"/>
        <w:rPr>
          <w:sz w:val="20"/>
          <w:szCs w:val="20"/>
          <w:color w:val="auto"/>
        </w:rPr>
      </w:pPr>
    </w:p>
    <w:p>
      <w:pPr>
        <w:jc w:val="both"/>
        <w:ind w:left="380" w:hanging="372"/>
        <w:spacing w:after="0"/>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2,541,999 shares of Series B redeemable convertible preferred stock held by MPM BioVentures 2018, L.P., (ii) 135,105 shares of Series B redeemable convertible preferred stock held by MPM BioVentures 2018 (B), L.P., (iii) 50,169 shares of Series B redeemable convertible preferred stock held by MPM Asset Management Investors BV2018 LLC, (iv) 2,727,273 shares of Series B redeemable convertible preferred stock held by Oncology Impact Private Investment Fund 2, L.P., and (v) 545,454 shares of Series B redeemable convertible preferred stock held by MPM Oncology Innovations Fund, L.P. Matthew Roden, our President and Chief Executive Officer and a member of our board of directors, is an entrepreneur partner at MPM BioImpact LLC. Todd Foley, a member of our board of directors, is a managing director of BV2018 LLC. BV2018 LLC is the Managing Member of MPM BioVentures 2018 GP LLC, which is the General Partner of MPM BioVentures 2018, L.P., and MPM BioVentures 2018(B), L.P. and the Manager of MPM Asset Management Investors BV2018 LLC. Entities affiliated with MPM BioImpact LLC collectively hold more than 5% of our voting securities. MPM BioImpact LLC consists of affiliated entities MPM Asset Management LLC and MPM BioImpact LLC.</w:t>
      </w:r>
    </w:p>
    <w:p>
      <w:pPr>
        <w:spacing w:after="0" w:line="77"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3,648,750 shares of Series B redeemable convertible preferred stock held by Vida II and (ii) 101,250 shares of Series B redeemable convertible preferred stock held by Vida II-A. Helen S. Kim, a member of our board of directors, is a senior managing director of the Vida Ventures Funds. Entities affiliated with VV Manager II, LLC collectively hold more than 5% of our voting securities.</w:t>
      </w:r>
    </w:p>
    <w:p>
      <w:pPr>
        <w:jc w:val="both"/>
        <w:ind w:left="380" w:hanging="372"/>
        <w:spacing w:after="0" w:line="221" w:lineRule="auto"/>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102,500 shares of Series B redeemable convertible preferred stock held by the Capital Fund and (ii) 2,397,500 shares of Series B redeemable convertible preferred stock held by the Qualified Fund. Oleg Nodelman a member of our board of directors, is the founder and portfolio manager of the EcoR1 Capital Funds. Entities affiliated with EcoR1 Capital, LLC collectively hold more than 5% of our voting securities.</w:t>
      </w:r>
    </w:p>
    <w:p>
      <w:pPr>
        <w:jc w:val="both"/>
        <w:ind w:left="380" w:hanging="372"/>
        <w:spacing w:after="0" w:line="221" w:lineRule="auto"/>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4,101,478 shares of Series B redeemable convertible preferred stock held by Blue Owl Healthcare Opportunities IV LP and (ii) 148,522 shares of Series B redeemable convertible preferred stock held by Blue Owl Healthcare Opportunities EF IV LP. Blue Owl Healthcare Opportunities Advisors LLC, an indirect subsidiary of Blue Owl Capital Holdings LP, is the investment manager of the Blue Owl Healthcare Holders. Blue Owl Healthcare Opportunities GP IV LLC is the general partner of the Blue Owl Healthcare Holders.</w:t>
      </w:r>
    </w:p>
    <w:p>
      <w:pPr>
        <w:jc w:val="both"/>
        <w:ind w:left="380" w:hanging="372"/>
        <w:spacing w:after="0" w:line="233" w:lineRule="auto"/>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4,000,000 shares of Series B redeemable convertible preferred stock held by RA Capital Healthcare Fund, L.P., and (ii) 1,000,000 shares of Series B redeemable convertible preferred stock held by RA Capital Nexus Fund III, L.P., or collectively, the RA Capital Funds. Andrew Levin, was a member of our board of directors and is a managing director of the RA Capital Funds. Andrew Levin resigned from our board of directors immediately prior to the effectiveness of our registration statement on Form S-1.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Lilly and Company Research and Collaboration Agreement</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May 2024, we entered into the Collaboration Agreement with Eli Lilly, a holder of more than 5% of our capital stock, to generate anticancer radiopharmaceuticals using our novel miniprotein technology platform. Pursuant to the Collaboration Agreement, we granted Eli Lilly an exclusive (even as to us and our affiliates), royalty-bearing, worldwide license, with the right to sublicense, to certain of our patents and other intellectual property rights to exploit certain compounds and therapeutic or diagnostic products that contain such compounds solely as products that contain a radioactive isotope. We also granted Eli Lilly a non-exclusive, royalty-bearing, worldwide license, with the right to sublicense, to the intellectual property necessary or useful to exploit the licensed compounds and licensed products solely as products that contain a radioactive isotope and a non-exclusive, fully paid-up license, with the right to sublicense, to exploit certain other intellectual property developed under the Collaboration Agreement for any and all purposes (subject to certain limitations). In addition, we and Eli Lilly agreed to negotiate in good faith to enter into a separate agreement in the event the parties agree that the clinical development of a licensed compound requires, or would be benefited by, a license to one of our other compounds. Eli Lilly may, at any time in its sole discretion and without cause, terminate the Collaboration Agreement on a collaboration target-by-collaboration target or region-by- region basis (or any combination thereof) upon 60 days’ prior written notice to us.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Collaboration Agreement, Eli Lilly may designate a specified number of initial collaboration targets, with the right to substitute other targets. We will be responsible for research activities through initial human imaging studies for a lead candidate for each selected target, and Eli Lilly will thereafter be responsible for regulatory filings, clinical development and commercialization activities worldwide. There is a separate research plan for each collaboration target, and our development costs are capped, on a research plan-by-research plan basis. Eli Lilly will reimburse our reasonable out-of-pocket costs and full-time equivalent costs incurred in excess of the cap.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5" w:name="page176"/>
    <w:bookmarkEnd w:id="175"/>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Eli Lilly paid us an upfront license fee of $60.0 million as a nonrefundable cash payment upon execution of the Collaboration Agreement. The Collaboration Agreement requires Eli Lilly to pay up to an aggregate of $525.0 million upon achievement of certain research development, regulatory and commercial launch milestones and up to an aggregate of $630.0 million upon achievement of certain sales milestones. As of December 31, 2025, one development milestone under the Collaboration Agreement totaling $1.0 million was achieved. In addition, if Eli Lilly successfully commercializes a therapeutic or diagnostic product under the Collaboration Agreement, Eli Lilly is required, unless earlier terminated, to pay us tiered royalties of up to 10% based on annual net sales, on a product-by-product and country-by-country basis, subject to specified reductions, until the later of the expiration of licensed patent rights in a country, expiration of regulatory exclusivity, or ten years after the first product sale in such country. The Collaboration Agreement requires Eli Lilly to use commercially reasonable efforts to develop and commercialize a licensed product from a research program in certain markets and through satisfaction of certain criteria. For further details see the section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included elsewhere in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Transfer Agreement with MPM Oncology Charitable Foundation and UBS Optimus Foundation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August 2020, we entered into the Royalty Transfer Agreement, with MPM Charitable Foundation, an affiliate of a stockholder holding more than 5% of our total outstanding stock, and UBS (together with MPM Charitable Foundation, the “Charitable Foundations”). Pursuant to the Royalty Transfer Agreement, we will pay 0.5% of annual global net sales to each of the Charitable Foundations, for a total of 1.0% of net sales, subject to customary reductions, for products that incorporate or utilize intellectual property that was discovered or developed by us prior to our IPO. Our payment obligations for each product will continue on a country-by-country basis upon the later of the twelfth anniversary of the first commercial sale of such product in such country or the expiration of the last to expire of certain patents owned or controlled by us covering such products in such country.</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payment obligations to MPM Charitable Foundation will terminate immediately upon authorization of the MPM Charitable Foundation’s board of directors (or similar body) or upon the winding up or dissolution of MPM Charitable Foundation. Our payment obligations to UBS will terminate immediately upon the winding up of Oncology Impact Fund 2, L.P., a Cayman Islands exempt limited partnership which is associated with MPM Charitable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and Management Services with MPM BioImpact LLC</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received consulting and management services from entities affiliated with MPM BioImpact LLC, a holder of more than 5% of our capital stock. In connection with the services, the costs incurred for the year ended December 31, 2025 were de minimis and $0.1 million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Voting and Right of First Refusal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our Series B preferred stock financing, we entered into an amended and restated investors’ rights agreement, the Voting Agreement and an amended and restated right of first refusal and co-sale agreement, containing registration rights, information rights, rights of first offer, voting rights and rights of first refusal, among other things, with certain holders of our capital stock, including the MPM BioImpact Funds, the Vida Ventures Funds, the EcoR1 Capital Funds, the RA Capital Funds, entities affiliated with Blue Owl Capital Holdings LP and Eli Lilly &amp; Company.</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foregoing stockholder agreements terminated upon the closing of our IPO, except for the registration rights granted under our amended and restated investors’ rights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For more information regarding such employment agreements, see Part III, Item 11, “Executive Compensation—Narrative Disclosure to Summary Compensation Table—Arrangements with Executive Officers”,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granted options to purchase shares of our common stock to certain of our executive officers and directors. For more information regarding the options granted to our executive officers and directors, see Part III, Item 11, “Executive Compensation—Non-Employee Director Compensation”, of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current directors and executive officers. The indemnification agreements and our amended and restated certificate of incorporation and amended and restated bylaws require us to indemnify our directors and executive officers to the fullest extent permitted by Delaware law. For more information regarding these agreements, see Part III, Item 11, “Executive Compensation—Limitations on Liability and Indemnification”,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in any fiscal year the lesser of (i) $120,000 or (ii) 1% of the average of our total assets at year 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Nasdaq Listing Rules, independent directors must comprise a majority of a listed company’s board of directors within one year of the completion of its initial public offering. In addition, the Nasdaq Listing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Nasdaq Listing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the Nasdaq Listing Rules and the rules under the Exchange Act.</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our board of directors has determined that each of our directors, with the exception of Matthew Roden and Todd Foley, is an “independent director” as defined under the Nasdaq Listing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and are “non-employee directors” as defined in Section 16b-3 of the Exchange Act.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Part III, Item 13, “Certain Relationships and Related Transactions, and Director Independence” of this Annual Report.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All Other Fees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(PCAOB Auditor ID No. 34), our independent registered public accounting firm,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Services Provided by Deloitte</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75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864,940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917,328</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864,940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917,328</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of Audit and Non-Audit Services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The pre-approval of services may be delegated to the chairperson of the audit committee, but the decision must be reported to the full audit committee at its next scheduled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F-1 of this Annual Report on Form 10-K, incorporated into this Item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or the notes thereto or is not applicable or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gridSpan w:val="8"/>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80" w:type="dxa"/>
            <w:vAlign w:val="bottom"/>
            <w:gridSpan w:val="15"/>
          </w:tcPr>
          <w:p>
            <w:pPr>
              <w:spacing w:after="0" w:line="169"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Amended and Restated Certificate of Incorporation (incorporated by reference to Exhibit 3.1 of the Registrant’s Current Report on Form</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8-K, filed on January 12,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Amended and Restated Bylaws (incorporated by reference to Exhibit 3.2 of the Registrant’s Current Report on Form 8-K, filed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98">
              <w:r>
                <w:rPr>
                  <w:rFonts w:ascii="Times New Roman" w:cs="Times New Roman" w:eastAsia="Times New Roman" w:hAnsi="Times New Roman"/>
                  <w:sz w:val="18"/>
                  <w:szCs w:val="18"/>
                  <w:color w:val="0000FF"/>
                  <w:w w:val="98"/>
                </w:rPr>
                <w:t>January 12, 2026).</w:t>
              </w:r>
            </w:hyperlink>
          </w:p>
        </w:tc>
        <w:tc>
          <w:tcPr>
            <w:tcW w:w="8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Third Amended and Restated Investors’ Rights Agreement, by and among the Registrant and certain of its stockholders, dated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September 20, 2024 (incorporated by reference to Exhibit 4.1 of the Registrant’s Registration Statement on Form S-1 (File No. 333-</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292283)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on December 19,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Specimen Common Stock Certificate (incorporated by reference to Exhibit 4.2 of Amendment No. 1 to the Registrant’s Registration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Statement on Form S-1 (File No. 333-292283), filed on January 5,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52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Registrant’s Securities.</w:t>
            </w:r>
          </w:p>
        </w:tc>
        <w:tc>
          <w:tcPr>
            <w:tcW w:w="4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2020 Equity Incentive Plan, and forms of award agreements thereunder (incorporated by reference to Exhibit 10.1 of the Registrant’s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01">
              <w:r>
                <w:rPr>
                  <w:rFonts w:ascii="Times New Roman" w:cs="Times New Roman" w:eastAsia="Times New Roman" w:hAnsi="Times New Roman"/>
                  <w:sz w:val="18"/>
                  <w:szCs w:val="18"/>
                  <w:color w:val="0000FF"/>
                  <w:w w:val="99"/>
                </w:rPr>
                <w:t>Registration Statement on Form S-1 (File No. 333-292283), filed on December 19, 2025).</w:t>
              </w:r>
            </w:hyperlink>
          </w:p>
        </w:tc>
        <w:tc>
          <w:tcPr>
            <w:tcW w:w="338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2026 Equity Incentive Plan, and forms of awards thereunder (incorporated by reference to Exhibit 10.2 of the Registrant’s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Statement on Form S-8 (File No. 333-292679), filed on January 12, 2026).</w:t>
              </w:r>
            </w:hyperlink>
          </w:p>
        </w:tc>
        <w:tc>
          <w:tcPr>
            <w:tcW w:w="4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2026 Employee Stock Purchase Plan (incorporated by reference to Exhibit 10.3 of the Registrant’s Registration Statement on Form S-8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(File No. 333-292679), filed on January 12, 2026).</w:t>
              </w:r>
            </w:hyperlink>
          </w:p>
        </w:tc>
        <w:tc>
          <w:tcPr>
            <w:tcW w:w="6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Senior Executive Cash Incentive Plan (incorporated by reference to Exhibit 10.4 of the Registrant’s Registration Statement on Form S-1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(File No. 333-292283), filed on December 19, 2025).</w:t>
              </w:r>
            </w:hyperlink>
          </w:p>
        </w:tc>
        <w:tc>
          <w:tcPr>
            <w:tcW w:w="600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Non-Employee Director Compensation Policy (incorporated by reference to Exhibit 10.5 of Amendment No. 1 to the Registrant’s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Registration Statement on Form S-1 (File No. 333-292283), filed on January 5, 2026).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Form of Indemnification Agreement (incorporated by reference to Exhibit 10.6 of the Registrant’s Registration Statement on Form S-1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06">
              <w:r>
                <w:rPr>
                  <w:rFonts w:ascii="Times New Roman" w:cs="Times New Roman" w:eastAsia="Times New Roman" w:hAnsi="Times New Roman"/>
                  <w:sz w:val="18"/>
                  <w:szCs w:val="18"/>
                  <w:color w:val="0000FF"/>
                  <w:w w:val="99"/>
                </w:rPr>
                <w:t>(File No. 333-292283), filed on December 19, 2025).</w:t>
              </w:r>
            </w:hyperlink>
          </w:p>
        </w:tc>
        <w:tc>
          <w:tcPr>
            <w:tcW w:w="60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Employment Agreement, dated December 18, 2025, between the Registrant and Matthew Roden (incorporated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of Amendment No. 1 to the Registrant’s Registration Statement on Form S-1 (File No. 333-292283), filed on January 5, 2026).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Employment Agreement, dated December 18, 2025, between the Registrant and Kyle D. Kuvalanka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Exhibit 10.8 of Amendment No. 1 to the Registrant’s Registration Statement on Form S-1 (File No. 333-292283), filed on January 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8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408">
              <w:r>
                <w:rPr>
                  <w:rFonts w:ascii="Times New Roman" w:cs="Times New Roman" w:eastAsia="Times New Roman" w:hAnsi="Times New Roman"/>
                  <w:sz w:val="18"/>
                  <w:szCs w:val="18"/>
                  <w:color w:val="0000FF"/>
                  <w:w w:val="94"/>
                </w:rPr>
                <w:t>2026).</w:t>
              </w:r>
            </w:hyperlink>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Employment Agreement, dated December 18, 2025, between the Registrant and Shulamit Ron-Bigger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Exhibit 10.9 of Amendment No. 1 to the Registrant’s Registration Statement on Form S-1 (File No. 333-292283), filed on January 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8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409">
              <w:r>
                <w:rPr>
                  <w:rFonts w:ascii="Times New Roman" w:cs="Times New Roman" w:eastAsia="Times New Roman" w:hAnsi="Times New Roman"/>
                  <w:sz w:val="18"/>
                  <w:szCs w:val="18"/>
                  <w:color w:val="0000FF"/>
                  <w:w w:val="94"/>
                </w:rPr>
                <w:t>2026).</w:t>
              </w:r>
            </w:hyperlink>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9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Employment Agreement, dated December 18, 2025, between the Registrant and Paul L. Feldman (incorporated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10</w:t>
              </w:r>
              <w:r>
                <w:rPr>
                  <w:rFonts w:ascii="Times New Roman" w:cs="Times New Roman" w:eastAsia="Times New Roman" w:hAnsi="Times New Roman"/>
                  <w:sz w:val="18"/>
                  <w:szCs w:val="18"/>
                  <w:color w:val="0000FF"/>
                  <w:w w:val="99"/>
                </w:rPr>
                <w:t xml:space="preserve"> of Amendment No. 1 to the Registrant’s Registration Statement on Form S-1 (File No. 333-292283), filed on January 5, 2026).</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Employment Agreement, dated December 18, 2025, between the Registrant and Akos Czibere (incorporated by reference to Exhibit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11</w:t>
              </w:r>
              <w:r>
                <w:rPr>
                  <w:rFonts w:ascii="Times New Roman" w:cs="Times New Roman" w:eastAsia="Times New Roman" w:hAnsi="Times New Roman"/>
                  <w:sz w:val="18"/>
                  <w:szCs w:val="18"/>
                  <w:color w:val="0000FF"/>
                  <w:w w:val="99"/>
                </w:rPr>
                <w:t xml:space="preserve"> of Amendment No. 1 to the Registrant’s Registration Statement on Form S-1 (File No. 333-292283), filed on January 5, 2026).</w:t>
              </w:r>
            </w:hyperlink>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Employment Agreement, dated December 18, 2025, between the Registrant and Tyler Benedum (incorporated by reference to Exhibit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1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12</w:t>
              </w:r>
              <w:r>
                <w:rPr>
                  <w:rFonts w:ascii="Times New Roman" w:cs="Times New Roman" w:eastAsia="Times New Roman" w:hAnsi="Times New Roman"/>
                  <w:sz w:val="18"/>
                  <w:szCs w:val="18"/>
                  <w:color w:val="0000FF"/>
                  <w:w w:val="99"/>
                </w:rPr>
                <w:t xml:space="preserve"> of Amendment No. 1 to the Registrant’s Registration Statement on Form S-1 (File No. 333-292283), filed on January 5, 2026).</w:t>
              </w:r>
            </w:hyperlink>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5400" w:type="dxa"/>
            <w:vAlign w:val="bottom"/>
            <w:gridSpan w:val="9"/>
          </w:tcPr>
          <w:p>
            <w:pPr>
              <w:jc w:val="right"/>
              <w:ind w:right="808"/>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License, Research and Collaboration Agreement, dated May 16, 2024, between the Registrant and Eli Lilly and Company (incorporated</w:t>
              </w:r>
            </w:hyperlink>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by reference to Exhibit 10.11 of the Registrant’s Registration Statement on Form S-1 (File No. 333-292283), filed on December 19,</w:t>
              </w:r>
            </w:hyperlink>
          </w:p>
        </w:tc>
      </w:tr>
      <w:tr>
        <w:trPr>
          <w:trHeight w:val="196"/>
        </w:trPr>
        <w:tc>
          <w:tcPr>
            <w:tcW w:w="136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15">
              <w:r>
                <w:rPr>
                  <w:rFonts w:ascii="Times New Roman" w:cs="Times New Roman" w:eastAsia="Times New Roman" w:hAnsi="Times New Roman"/>
                  <w:sz w:val="18"/>
                  <w:szCs w:val="18"/>
                  <w:color w:val="0000FF"/>
                  <w:w w:val="94"/>
                </w:rPr>
                <w:t>2025).</w:t>
              </w:r>
            </w:hyperlink>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License Agreement, dated November 1, 2021, between the Registrant and Institute for Protein Innovation, Inc (incorporated by reference</w:t>
              </w:r>
            </w:hyperlink>
          </w:p>
        </w:tc>
      </w:tr>
      <w:tr>
        <w:trPr>
          <w:trHeight w:val="196"/>
        </w:trPr>
        <w:tc>
          <w:tcPr>
            <w:tcW w:w="1360" w:type="dxa"/>
            <w:vAlign w:val="bottom"/>
          </w:tcPr>
          <w:p>
            <w:pPr>
              <w:spacing w:after="0"/>
              <w:rPr>
                <w:sz w:val="17"/>
                <w:szCs w:val="17"/>
                <w:color w:val="auto"/>
              </w:rPr>
            </w:pPr>
          </w:p>
        </w:tc>
        <w:tc>
          <w:tcPr>
            <w:tcW w:w="90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to Exhibit 10.12 of the Registrant’s Registration Statement on Form S-1 (File No. 333-292283), filed on December 19, 2025).</w:t>
              </w:r>
            </w:hyperlink>
          </w:p>
        </w:tc>
        <w:tc>
          <w:tcPr>
            <w:tcW w:w="800" w:type="dxa"/>
            <w:vAlign w:val="bottom"/>
            <w:gridSpan w:val="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Royalty Transfer Agreement, dated August 27, 2020, among the Registrant (formerly known as HotKnot Therapeutics, Inc.), MPM</w:t>
              </w:r>
            </w:hyperlink>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Oncology Charitable Foundation, Inc. and the UBS Optimus Foundation (incorporated by reference to Exhibit 10.13 of the Registrant’s</w:t>
              </w:r>
            </w:hyperlink>
          </w:p>
        </w:tc>
      </w:tr>
      <w:tr>
        <w:trPr>
          <w:trHeight w:val="196"/>
        </w:trPr>
        <w:tc>
          <w:tcPr>
            <w:tcW w:w="1360" w:type="dxa"/>
            <w:vAlign w:val="bottom"/>
          </w:tcPr>
          <w:p>
            <w:pPr>
              <w:spacing w:after="0"/>
              <w:rPr>
                <w:sz w:val="17"/>
                <w:szCs w:val="17"/>
                <w:color w:val="auto"/>
              </w:rPr>
            </w:pPr>
          </w:p>
        </w:tc>
        <w:tc>
          <w:tcPr>
            <w:tcW w:w="64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Registration Statement on Form S-1 (File No. 333-292283), filed on December 19, 2025).</w:t>
              </w:r>
            </w:hyperlink>
          </w:p>
        </w:tc>
        <w:tc>
          <w:tcPr>
            <w:tcW w:w="3380" w:type="dxa"/>
            <w:vAlign w:val="bottom"/>
            <w:gridSpan w:val="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Lease Agreement, dated January 13, 2022, between the Registrant and IDB 17-19 Drydock Limited Partnership (incorporated by</w:t>
              </w:r>
            </w:hyperlink>
          </w:p>
        </w:tc>
      </w:tr>
      <w:tr>
        <w:trPr>
          <w:trHeight w:val="196"/>
        </w:trPr>
        <w:tc>
          <w:tcPr>
            <w:tcW w:w="1360" w:type="dxa"/>
            <w:vAlign w:val="bottom"/>
          </w:tcPr>
          <w:p>
            <w:pPr>
              <w:spacing w:after="0"/>
              <w:rPr>
                <w:sz w:val="17"/>
                <w:szCs w:val="17"/>
                <w:color w:val="auto"/>
              </w:rPr>
            </w:pPr>
          </w:p>
        </w:tc>
        <w:tc>
          <w:tcPr>
            <w:tcW w:w="97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reference to Exhibit 10.14 of the Registrant’s Registration Statement on Form S-1 (File No. 333-292283), filed on December 19, 2025).</w:t>
              </w:r>
            </w:hyperlink>
          </w:p>
        </w:tc>
        <w:tc>
          <w:tcPr>
            <w:tcW w:w="8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First Amendment to Lease Agreement, dated February 1, 2023, between the Registrant and IDB 17-19 Drydock Limited Partnership</w:t>
              </w:r>
            </w:hyperlink>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(incorporated by reference to Exhibit 10.15 of the Registrant’s Registration Statement on Form S-1 (File No. 333-292283), filed on</w:t>
              </w:r>
            </w:hyperlink>
          </w:p>
        </w:tc>
      </w:tr>
      <w:tr>
        <w:trPr>
          <w:trHeight w:val="196"/>
        </w:trPr>
        <w:tc>
          <w:tcPr>
            <w:tcW w:w="1360" w:type="dxa"/>
            <w:vAlign w:val="bottom"/>
          </w:tcPr>
          <w:p>
            <w:pPr>
              <w:spacing w:after="0"/>
              <w:rPr>
                <w:sz w:val="17"/>
                <w:szCs w:val="17"/>
                <w:color w:val="auto"/>
              </w:rPr>
            </w:pPr>
          </w:p>
        </w:tc>
        <w:tc>
          <w:tcPr>
            <w:tcW w:w="1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19">
              <w:r>
                <w:rPr>
                  <w:rFonts w:ascii="Times New Roman" w:cs="Times New Roman" w:eastAsia="Times New Roman" w:hAnsi="Times New Roman"/>
                  <w:sz w:val="18"/>
                  <w:szCs w:val="18"/>
                  <w:color w:val="0000FF"/>
                  <w:w w:val="98"/>
                </w:rPr>
                <w:t>December 19, 2025).</w:t>
              </w:r>
            </w:hyperlink>
          </w:p>
        </w:tc>
        <w:tc>
          <w:tcPr>
            <w:tcW w:w="8340" w:type="dxa"/>
            <w:vAlign w:val="bottom"/>
            <w:gridSpan w:val="1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6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Second Amendment to Lease Agreement, dated April 14, 2025, between the Registrant and IDB 17-19 Drydock Limited Partnership.</w:t>
            </w:r>
          </w:p>
        </w:tc>
        <w:tc>
          <w:tcPr>
            <w:tcW w:w="260" w:type="dxa"/>
            <w:vAlign w:val="bottom"/>
            <w:gridSpan w:val="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36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Subsidiaries of the Registrant (incorporated by reference to Exhibit 21.1 of the Registrant’s Registration Statement on Form S-1 (File</w:t>
              </w:r>
            </w:hyperlink>
          </w:p>
        </w:tc>
      </w:tr>
      <w:tr>
        <w:trPr>
          <w:trHeight w:val="196"/>
        </w:trPr>
        <w:tc>
          <w:tcPr>
            <w:tcW w:w="1360" w:type="dxa"/>
            <w:vAlign w:val="bottom"/>
          </w:tcPr>
          <w:p>
            <w:pPr>
              <w:spacing w:after="0"/>
              <w:rPr>
                <w:sz w:val="17"/>
                <w:szCs w:val="17"/>
                <w:color w:val="auto"/>
              </w:rPr>
            </w:pPr>
          </w:p>
        </w:tc>
        <w:tc>
          <w:tcPr>
            <w:tcW w:w="9860" w:type="dxa"/>
            <w:vAlign w:val="bottom"/>
            <w:gridSpan w:val="15"/>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No. 333-292283), filed on December 19, 2025).</w:t>
              </w:r>
            </w:hyperlink>
          </w:p>
        </w:tc>
      </w:tr>
      <w:tr>
        <w:trPr>
          <w:trHeight w:val="20"/>
        </w:trPr>
        <w:tc>
          <w:tcPr>
            <w:tcW w:w="13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0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form.</w:t>
            </w:r>
          </w:p>
        </w:tc>
        <w:tc>
          <w:tcPr>
            <w:tcW w:w="3820" w:type="dxa"/>
            <w:vAlign w:val="bottom"/>
            <w:gridSpan w:val="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Power of Attorney (included on the signature page to this Report).</w:t>
            </w:r>
          </w:p>
        </w:tc>
        <w:tc>
          <w:tcPr>
            <w:tcW w:w="5080" w:type="dxa"/>
            <w:vAlign w:val="bottom"/>
            <w:gridSpan w:val="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3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w:t>
            </w:r>
          </w:p>
        </w:tc>
        <w:tc>
          <w:tcPr>
            <w:tcW w:w="40" w:type="dxa"/>
            <w:vAlign w:val="bottom"/>
            <w:tcBorders>
              <w:top w:val="single" w:sz="8" w:color="0000FF"/>
            </w:tcBorders>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1360" w:type="dxa"/>
            <w:vAlign w:val="bottom"/>
          </w:tcPr>
          <w:p>
            <w:pPr>
              <w:spacing w:after="0"/>
              <w:rPr>
                <w:sz w:val="17"/>
                <w:szCs w:val="17"/>
                <w:color w:val="auto"/>
              </w:rPr>
            </w:pPr>
          </w:p>
        </w:tc>
        <w:tc>
          <w:tcPr>
            <w:tcW w:w="34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400" w:type="dxa"/>
            <w:vAlign w:val="bottom"/>
            <w:gridSpan w:val="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3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Clawback Policy.</w:t>
            </w:r>
          </w:p>
        </w:tc>
        <w:tc>
          <w:tcPr>
            <w:tcW w:w="7500" w:type="dxa"/>
            <w:vAlign w:val="bottom"/>
            <w:gridSpan w:val="11"/>
          </w:tcPr>
          <w:p>
            <w:pPr>
              <w:spacing w:after="0"/>
              <w:rPr>
                <w:sz w:val="17"/>
                <w:szCs w:val="17"/>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360" w:type="dxa"/>
            <w:vAlign w:val="bottom"/>
          </w:tcPr>
          <w:p>
            <w:pPr>
              <w:spacing w:after="0"/>
              <w:rPr>
                <w:sz w:val="18"/>
                <w:szCs w:val="18"/>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60" w:hanging="1352"/>
        <w:spacing w:after="0"/>
        <w:tabs>
          <w:tab w:leader="none" w:pos="13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9030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ind w:left="140" w:hanging="132"/>
        <w:spacing w:after="0"/>
        <w:tabs>
          <w:tab w:leader="none" w:pos="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1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redacted pursuant to Item 601 of Regulation S-K because they are both not material and the registrant customarily and actually treats such information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Aktis Oncology,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Roden</w:t>
            </w:r>
          </w:p>
        </w:tc>
      </w:tr>
      <w:tr>
        <w:trPr>
          <w:trHeight w:val="191"/>
        </w:trPr>
        <w:tc>
          <w:tcPr>
            <w:tcW w:w="3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Roden, PhD</w:t>
            </w:r>
          </w:p>
        </w:tc>
      </w:tr>
      <w:tr>
        <w:trPr>
          <w:trHeight w:val="234"/>
        </w:trPr>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Matthew Roden, PhD and Kyle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Kuvalanka, and each or any one of them, as his or her true and lawful attorneys-in-fact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7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Roden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Matthew Roden, PhD</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D. Kuvalanka</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Kyle D. Kuvalanka</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Foley</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Chair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Todd Foley, MBA</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Herrmann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Ken Herrmann, MD</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Helen S. Kim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Helen S. Kim, MBA</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Oleg Nodelman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Lloyd M. Segal</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Lloyd M. Segal, MBA</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Sherman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Michael A. Sherman</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Thistle</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Mary Thistle</w:t>
            </w: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846"/>
        </w:trPr>
        <w:tc>
          <w:tcPr>
            <w:tcW w:w="3820" w:type="dxa"/>
            <w:vAlign w:val="bottom"/>
          </w:tcPr>
          <w:p>
            <w:pPr>
              <w:spacing w:after="0"/>
              <w:rPr>
                <w:sz w:val="24"/>
                <w:szCs w:val="24"/>
                <w:color w:val="auto"/>
              </w:rPr>
            </w:pPr>
          </w:p>
        </w:tc>
        <w:tc>
          <w:tcPr>
            <w:tcW w:w="44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184</w:t>
            </w:r>
          </w:p>
        </w:tc>
        <w:tc>
          <w:tcPr>
            <w:tcW w:w="2940" w:type="dxa"/>
            <w:vAlign w:val="bottom"/>
          </w:tcPr>
          <w:p>
            <w:pPr>
              <w:spacing w:after="0"/>
              <w:rPr>
                <w:sz w:val="24"/>
                <w:szCs w:val="24"/>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of Aktis Oncology, Inc.</w:t>
      </w:r>
    </w:p>
    <w:p>
      <w:pPr>
        <w:spacing w:after="0" w:line="12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following is a summary of the capital stock of Aktis Oncology, Inc. (“Aktis,” the “Company,” “our,” “we” or “us”) and certain provisions of our amended and restated certificate of incorporation (the “Restated Charter”), and our amended and restated bylaws (the “Restated Bylaws”), and certain provisions of Delaware law. This summary does not purport to be complete and is qualified by reference to our Restated Charter and Restated Bylaws, current copies of which are filed as exhibits to our most recent Annual Report on Form 10-K.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2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Restated Charter authorizes us to issue up to 480,000,000 shares of common stock, $0.0001 par value per share, 10,000,000 shares of Class A common stock, $0.0001 par value per share and 10,000,000 shares of preferred stock, $0.0001 par value per share, all of which shares of preferred stock will be undesignated. Our board of directors may establish the rights and preferences of the preferred stock from time to time.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 and Class A Common Stock</w:t>
      </w:r>
    </w:p>
    <w:p>
      <w:pPr>
        <w:spacing w:after="0" w:line="1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Restated Charter authorizes the issuance of up to 480,000,000 shares of our common stock and 10,000,000 shares of our Class A common stock.</w:t>
      </w:r>
    </w:p>
    <w:p>
      <w:pPr>
        <w:spacing w:after="0" w:line="9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holders of our common stock and our Class A common stock have identical rights, provided that, (i) except as otherwise expressly provided in our Restated Charter or as required by applicable law, on any matter that is submitted to a vote by our stockholders, holders of our common stock are entitled to one vote per share of common stock, and holders of our Class A common stock are not entitled to any votes per share of Class A common stock, including for the election of directors, and (ii) holders of our common stock have no conversion rights, while holders of our Class A common stock shall have the right to convert each share of our Class A common stock into one share of common stock at such holder’s election, provided that as a result of such conversion, such holder, together with its affiliates and any members of a Schedule 13(d) group with such holder, would not beneficially own in excess of 4.99% of our common stock immediately prior to and following such conversion, unless otherwise as expressly provided for in our Restated Charter. However, the beneficial ownership limitation may be increased or decreased to any other percentage (not to exceed 19.99%) designated by such holder of Class A common stock upon 61 days’ notice to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13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Our common stock is entitled to one vote per share on any matter that is submitted to a vote of our stockholders, except on matters relating solely to terms of preferred stock, and our Class A common stock is not entitled to any votes per share. However, as long as any shares of Class A common stock are outstanding, we will not, without the affirmative vote of the holders of a majority of the then outstanding shares of Class A common stock, alter or change adversely the powers, preferences or rights given to the Class A common stock.</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 as otherwise expressly provided in our Restated Charter or required by applicable law, all shares of common stock and Class A common stock have the same rights and privileges and 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2" w:name="page183"/>
    <w:bookmarkEnd w:id="182"/>
    <w:p>
      <w:pPr>
        <w:spacing w:after="0" w:line="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equally, share ratably, and be identical in all respects for all matters, including those described below. Our Restated Charter does not provide for cumulative voting in the election of directors.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Dividends</w:t>
      </w:r>
    </w:p>
    <w:p>
      <w:pPr>
        <w:spacing w:after="0" w:line="13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preferences that may apply to any shares of preferred stock outstanding at the time, the holders of our common stock and Class A common stock are entitled to receive ratably any dividends declared by our board of directors out of funds legally available therefor if our board of directors, in its discretion, determines to issue dividends and then only at the times and in the amounts that our board of directors may determine.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rights</w:t>
      </w:r>
    </w:p>
    <w:p>
      <w:pPr>
        <w:spacing w:after="0" w:line="14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the event of our liquidation, dissolution or winding-up, the holders of our common stock and Class A common stock will be entitled to share equally, identically, and ratably in all assets remaining after payment of or provision for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Rights</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holders of our common stock and Class A common stock have no preemptive rights. There are no redemption or sinking fund provisions applicable to our common stock and Class A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4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Under the terms of our Restated Charter, our board of directors is authorized to direct us to issue up to 10,000,000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1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have no present plans to issue any shares of preferred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12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holders of the shares of 34,027,218 shares of common stock which includes all common stock issued upon the automatic conversion of our redeemable convertible preferred stock outstanding immediately prior to the closing of our initial public offering in January 2026 (the “IPO”) and the shares of common stock issuable upon the conversion of Class A common stock issued upon conversion of our redeemable convertible preferred stock upon closing of the IPO,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entitled to the following rights with respect to the registration of such shares for public resale under the Securities Act of 1933, as amended (the “Securities Act”), pursuant to an amended and restated investors’ rights agreement by and among us and certain investors (the “Investors’ Rights Agreement” and such securities, the “Registrable Securities”).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Demand Registration Rights</w:t>
      </w:r>
    </w:p>
    <w:p>
      <w:pPr>
        <w:spacing w:after="0" w:line="14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At any time beginning 180 days following the completion of the IPO, the holders of a majority of Registrable Securities then outstanding have the right to demand that we file a registration statement covering at least 40%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 provided, however, that we will not be required to effect such a registration if, among other things, we have already effected two registrations for the holders of registrable securities in response to these demand registration rights.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Piggyback Registration Rights</w:t>
      </w:r>
    </w:p>
    <w:p>
      <w:pPr>
        <w:spacing w:after="0" w:line="13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Registration on Form S-3</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At any time after we become eligible to file a registration statement on Form S-3, the holders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$5.0 million. Upon receipt of this request, the holders of registrable securities will each be entitled to participate in this registration. Upon such a request, we are required to effect the registration as soon as practicable, but in any event no later than 45 days after the receipt of such request; provided, however, that we will not be required to effect such a registration if, among other things, we have already effected two registrations on Form S-3 for the holders of Registrable Securities in response to these demand registration rights within the preceding 12 months.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Expenses of Registration</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are required to pay all expenses, including fees and expenses of one counsel to represent the selling stockholders (up to $75,000 total), relating to any demand, piggyback or Form S-3 registration, other than underwriting discounts and commissions, stock transfer taxes and any additional fees of counsel for the selling stockholders, subject to specified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9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Termination of Registration Rights</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registration rights granted under the Investors’ Rights Agreement will terminate with respect to any particular stockholder upon the earlier of (a) the closing of a liquidation event, in which the consideration received by the stockholders is in the form of cash and/or publicly traded securities, or if the stockholders receive registration rights from the acquiring company or other successor to us that are reasonably comparable to those granted under the Investors’ Rights Agreement, (b) with respect to each stockholder, at such time such stockholder, together with its “affiliates” (as that term is defined in Rule 144 under the Securities Act) holds less than 1% of our outstanding capital stock and is able to sell all of its shares pursuant to Rule 144 or another similar exemption under the Securities Act during a three-month period without registration and (c) the third anniversary of the closing of the IPO.</w:t>
      </w:r>
    </w:p>
    <w:p>
      <w:pPr>
        <w:spacing w:after="0" w:line="93" w:lineRule="exact"/>
        <w:rPr>
          <w:sz w:val="20"/>
          <w:szCs w:val="20"/>
          <w:color w:val="auto"/>
        </w:rPr>
      </w:pPr>
    </w:p>
    <w:p>
      <w:pPr>
        <w:ind w:right="4560"/>
        <w:spacing w:after="0" w:line="373" w:lineRule="auto"/>
        <w:rPr>
          <w:sz w:val="20"/>
          <w:szCs w:val="20"/>
          <w:color w:val="auto"/>
        </w:rPr>
      </w:pPr>
      <w:r>
        <w:rPr>
          <w:rFonts w:ascii="Times New Roman" w:cs="Times New Roman" w:eastAsia="Times New Roman" w:hAnsi="Times New Roman"/>
          <w:sz w:val="22"/>
          <w:szCs w:val="22"/>
          <w:b w:val="1"/>
          <w:bCs w:val="1"/>
          <w:color w:val="auto"/>
        </w:rPr>
        <w:t xml:space="preserve">Anti-Takeover Effects of our Restated Charter and our Restated Bylaws </w:t>
      </w:r>
      <w:r>
        <w:rPr>
          <w:rFonts w:ascii="Times New Roman" w:cs="Times New Roman" w:eastAsia="Times New Roman" w:hAnsi="Times New Roman"/>
          <w:sz w:val="22"/>
          <w:szCs w:val="22"/>
          <w:b w:val="1"/>
          <w:bCs w:val="1"/>
          <w:i w:val="1"/>
          <w:iCs w:val="1"/>
          <w:color w:val="auto"/>
        </w:rPr>
        <w:t>Section 203 of the Delaware General Corporation Law</w:t>
      </w:r>
    </w:p>
    <w:p>
      <w:pPr>
        <w:spacing w:after="0" w:line="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Restated Charter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provisions include: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w:t>
      </w:r>
      <w:r>
        <w:rPr>
          <w:rFonts w:ascii="Times New Roman" w:cs="Times New Roman" w:eastAsia="Times New Roman" w:hAnsi="Times New Roman"/>
          <w:sz w:val="22"/>
          <w:szCs w:val="22"/>
          <w:b w:val="1"/>
          <w:bCs w:val="1"/>
          <w:color w:val="auto"/>
        </w:rPr>
        <w:t xml:space="preserve"> </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Our Restated Charter provides that our board of directors will be divided into three classes of directors, with the classes as nearly equal in number as possible. As a result, approximately one-third of our board of directors are elected each year. The classification of directors will have the effect of making it more difficult for stockholders to change the composition of our board of directors. Our Restated Charter also provides that, subject to any rights of holders of preferred stock to elect additional directors under specified circumstances, the number of directors will be fixed exclusively pursuant to a resolution adopted by our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Action by Written Consent; Special Meetings of Stockholders</w:t>
      </w:r>
    </w:p>
    <w:p>
      <w:pPr>
        <w:spacing w:after="0" w:line="14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Our Restated Charter provides that stockholder action can be taken only at an annual or special meeting of stockholders and cannot be taken by written consent in lieu of a meeting. Our Restated Charter and the Restated Bylaws also provide that, except as otherwise required by law, special meetings of the stockholders can only be called pursuant to a resolution adopted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majority of our board of directors. Except as described above, stockholders will not be permitted to call a special meeting or to require our board of directors to call a special meeting.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Removal of Directors</w:t>
      </w:r>
      <w:r>
        <w:rPr>
          <w:rFonts w:ascii="Times New Roman" w:cs="Times New Roman" w:eastAsia="Times New Roman" w:hAnsi="Times New Roman"/>
          <w:sz w:val="22"/>
          <w:szCs w:val="22"/>
          <w:b w:val="1"/>
          <w:bCs w:val="1"/>
          <w:color w:val="auto"/>
        </w:rPr>
        <w:t xml:space="preserve"> </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Restated Charter provides that our directors may be removed only for cause by the affirmative vote of at least two-thirds of the voting power of our outstanding shares of capital stock, then entitled to vote thereon voting together as a single class. This requirement of a supermajority vote to remove directors could enable a minority of our stockholders to prevent a change in the composition of our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Procedures</w:t>
      </w:r>
      <w:r>
        <w:rPr>
          <w:rFonts w:ascii="Times New Roman" w:cs="Times New Roman" w:eastAsia="Times New Roman" w:hAnsi="Times New Roman"/>
          <w:sz w:val="22"/>
          <w:szCs w:val="22"/>
          <w:i w:val="1"/>
          <w:iCs w:val="1"/>
          <w:color w:val="auto"/>
        </w:rPr>
        <w:t xml:space="preserve"> </w:t>
      </w:r>
    </w:p>
    <w:p>
      <w:pPr>
        <w:spacing w:after="0" w:line="13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Our Restated Bylaws establishes an advance notice procedure for stockholder proposals to be brought before an annual meeting of our stockholders, including proposed nominations of persons for election to our board of directors. Stockholders at an annual meeting are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do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Supermajority Approval Requirements</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Delaware General Corporation Law (the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Restated Charter and Restated Bylaws provide that the affirmative vote of holders of at least 75% of the total votes eligible to be cast in the election of directors are required to amend, alter, change or repeal specified provisions. This requirement of a supermajority vote to approve amendments to our Restated Charter and Restated Bylaws could enable a minority of our stockholders to exercise veto power over any such amendments.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r>
        <w:rPr>
          <w:rFonts w:ascii="Times New Roman" w:cs="Times New Roman" w:eastAsia="Times New Roman" w:hAnsi="Times New Roman"/>
          <w:sz w:val="22"/>
          <w:szCs w:val="22"/>
          <w:b w:val="1"/>
          <w:bCs w:val="1"/>
          <w:color w:val="auto"/>
        </w:rPr>
        <w:t xml:space="preserve"> </w:t>
      </w:r>
    </w:p>
    <w:p>
      <w:pPr>
        <w:spacing w:after="0" w:line="14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Our authorized but unissued shares of common stock, Class A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Choice of Forum</w:t>
      </w:r>
      <w:r>
        <w:rPr>
          <w:rFonts w:ascii="Times New Roman" w:cs="Times New Roman" w:eastAsia="Times New Roman" w:hAnsi="Times New Roman"/>
          <w:sz w:val="22"/>
          <w:szCs w:val="22"/>
          <w:i w:val="1"/>
          <w:i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1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Our Restated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the DGCL, or our Restated Charter or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0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However, Section 27 of the Securities Exchange Act of 1934, as amended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0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addition, our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a particular offering.</w:t>
      </w:r>
    </w:p>
    <w:p>
      <w:pPr>
        <w:spacing w:after="0" w:line="11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Additionally, our Restated Bylaws provide that any person or entity holding, owning or otherwise acquiring any interest in any of our securities shall be deemed to have notice of and consented to these provisions.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203 of the DGCL</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years prior to the determination of interested stockholder status, 15% or more of the corporation’s voting stock.</w:t>
      </w:r>
    </w:p>
    <w:p>
      <w:pPr>
        <w:spacing w:after="0" w:line="12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0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of Liability and Indemnification Matters</w:t>
      </w:r>
    </w:p>
    <w:p>
      <w:pPr>
        <w:spacing w:after="0" w:line="18"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21"/>
          <w:szCs w:val="21"/>
          <w:color w:val="auto"/>
        </w:rPr>
        <w:t>Our Restated Charter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ind w:left="760" w:hanging="378"/>
        <w:spacing w:after="0" w:line="231"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director’s or officer’s duty of loyalty to the corporation or its stockholders;</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not in good faith or that involves intentional misconduct or a knowing violation of law;</w:t>
      </w:r>
    </w:p>
    <w:p>
      <w:pPr>
        <w:ind w:left="760" w:hanging="378"/>
        <w:spacing w:after="0" w:line="230"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director, unlawful payments of dividends or unlawful stock repurchases or redemptions;</w:t>
      </w:r>
    </w:p>
    <w:p>
      <w:pPr>
        <w:ind w:left="760" w:hanging="378"/>
        <w:spacing w:after="0" w:line="230"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an officer, derivative claims brought on behalf of the corporation by a stockholder; or</w:t>
      </w:r>
    </w:p>
    <w:p>
      <w:pPr>
        <w:ind w:left="760" w:hanging="378"/>
        <w:spacing w:after="0"/>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from which the director or officer derived an improper personal benefit.</w:t>
      </w:r>
    </w:p>
    <w:p>
      <w:pPr>
        <w:spacing w:after="0" w:line="11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Such limitation of liability does not apply to liabilities arising under federal securities laws and does not affect the availability of equitable remedies such as injunctive relief or rescission.</w:t>
      </w:r>
    </w:p>
    <w:p>
      <w:pPr>
        <w:spacing w:after="0" w:line="9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Our Restated Charter authorizes us to indemnify our directors, officers, employees and other agents to the fullest extent permitted by Delaware law. Our Restated Bylaws provide that we are required to indemnify our directors and officers to the fullest extent permitted by Delaware law and may indemnify our other employees and agents. Our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9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believe that these Restated Charter and Restated Bylaw provisions and indemnification agreements are necessary to attract and retain qualified persons as directors and officers. We also maintain customary directors’ and officers’ liability insurance.</w:t>
      </w:r>
    </w:p>
    <w:p>
      <w:pPr>
        <w:spacing w:after="0" w:line="1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limitation of liability and indemnification provisions in our Restated Charter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may be permitted for directors, executive officers, or persons controlling us, we have been informed that, in the opinion of the Securities and Exchange Commission, such indemnification is against public policy as expressed in the Securities Act and is therefore unenforceable.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common stock is Computershare Trust Company, N.A. The transfer agent’s address is 150 Royall Street, Canton, Massachusetts 02021.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Our common stock is listed on the Nasdaq Global Select Market under the trading symbol “AKTS.”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395"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LEASE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SECOND AMENDMENT TO LEASE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is made and entered into as of April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IDB 17-19 DRYDOCK LIMITED PARTNERSHIP</w:t>
      </w:r>
      <w:r>
        <w:rPr>
          <w:rFonts w:ascii="Times New Roman" w:cs="Times New Roman" w:eastAsia="Times New Roman" w:hAnsi="Times New Roman"/>
          <w:sz w:val="22"/>
          <w:szCs w:val="22"/>
          <w:color w:val="auto"/>
        </w:rPr>
        <w:t>, a Delaware limited partnership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AKTIS ONCOLOGY,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Landlord and Tenant are parties to that certain Lease dated January 13, 2022, as amended by a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Lease dated as of February 1, 2023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Existing Lease</w:t>
      </w:r>
      <w:r>
        <w:rPr>
          <w:rFonts w:ascii="Times New Roman" w:cs="Times New Roman" w:eastAsia="Times New Roman" w:hAnsi="Times New Roman"/>
          <w:sz w:val="22"/>
          <w:szCs w:val="22"/>
          <w:color w:val="auto"/>
        </w:rPr>
        <w:t>”) with respect to premises containing, in the aggregate, approximately 17,944 rentable square feet comprised of: (i) approximately 17,767 rentable square feet located on the fourth (4th) floor (the “</w:t>
      </w:r>
      <w:r>
        <w:rPr>
          <w:rFonts w:ascii="Times New Roman" w:cs="Times New Roman" w:eastAsia="Times New Roman" w:hAnsi="Times New Roman"/>
          <w:sz w:val="22"/>
          <w:szCs w:val="22"/>
          <w:b w:val="1"/>
          <w:bCs w:val="1"/>
          <w:color w:val="auto"/>
        </w:rPr>
        <w:t>Existing Fourth Floor Premises</w:t>
      </w:r>
      <w:r>
        <w:rPr>
          <w:rFonts w:ascii="Times New Roman" w:cs="Times New Roman" w:eastAsia="Times New Roman" w:hAnsi="Times New Roman"/>
          <w:sz w:val="22"/>
          <w:szCs w:val="22"/>
          <w:color w:val="auto"/>
        </w:rPr>
        <w:t>”); and (ii) approximately 177 rentable square feet located on the first (1st) floor comprised of chemical storage space (collectively, the “</w:t>
      </w:r>
      <w:r>
        <w:rPr>
          <w:rFonts w:ascii="Times New Roman" w:cs="Times New Roman" w:eastAsia="Times New Roman" w:hAnsi="Times New Roman"/>
          <w:sz w:val="22"/>
          <w:szCs w:val="22"/>
          <w:b w:val="1"/>
          <w:bCs w:val="1"/>
          <w:color w:val="auto"/>
        </w:rPr>
        <w:t>Existing Premises</w:t>
      </w:r>
      <w:r>
        <w:rPr>
          <w:rFonts w:ascii="Times New Roman" w:cs="Times New Roman" w:eastAsia="Times New Roman" w:hAnsi="Times New Roman"/>
          <w:sz w:val="22"/>
          <w:szCs w:val="22"/>
          <w:color w:val="auto"/>
        </w:rPr>
        <w:t>”, each within the Building located at One Design Place, Boston, Massachusetts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as more particularly described therein. In addition, Tenant has the use of the Rooftop Area (as defined in the First Amendment). All capitalized terms used but not otherwise defined herein shall have the meanings ascribed to them in the Existing Lease. The Existing Lease, as modified and amended by this Second Amendment, is referred to herein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Tenant desires to lease additional premises immediately adjacent to the Existing Fourth Floor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containing 625 rentable square feet on the fourth (4th) floor of the Building (the “</w:t>
      </w:r>
      <w:r>
        <w:rPr>
          <w:rFonts w:ascii="Times New Roman" w:cs="Times New Roman" w:eastAsia="Times New Roman" w:hAnsi="Times New Roman"/>
          <w:sz w:val="22"/>
          <w:szCs w:val="22"/>
          <w:b w:val="1"/>
          <w:bCs w:val="1"/>
          <w:color w:val="auto"/>
        </w:rPr>
        <w:t>Expansion Premises</w:t>
      </w:r>
      <w:r>
        <w:rPr>
          <w:rFonts w:ascii="Times New Roman" w:cs="Times New Roman" w:eastAsia="Times New Roman" w:hAnsi="Times New Roman"/>
          <w:sz w:val="22"/>
          <w:szCs w:val="22"/>
          <w:color w:val="auto"/>
        </w:rPr>
        <w:t xml:space="preserve">”) for the use by Tenant of an H Room, a gas storage room, and for one-half of Tenant’s quality control room. The Existing Fourth Floor Premises and the Expansion Premises shall equal a total of 18,392 rentable square feet, as shown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a copy of which is attached hereto and incorporated by reference herein.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Landlord agrees to lease the Expansion Premises to Tenant on the terms and conditions hereinafter set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capitalized terms used but not otherwise defined herein shall have the meanings ascribed to them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Lease.</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Ten Dollars ($10.00) and other good and valuable consideration, the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and delivery of which are hereby acknowledged, the parties hereby agree that the Lease is hereby amended as follows:</w:t>
      </w:r>
    </w:p>
    <w:p>
      <w:pPr>
        <w:spacing w:after="0" w:line="167" w:lineRule="exact"/>
        <w:rPr>
          <w:sz w:val="20"/>
          <w:szCs w:val="20"/>
          <w:color w:val="auto"/>
        </w:rPr>
      </w:pPr>
    </w:p>
    <w:p>
      <w:pPr>
        <w:jc w:val="both"/>
        <w:ind w:firstLine="757"/>
        <w:spacing w:after="0" w:line="238" w:lineRule="auto"/>
        <w:tabs>
          <w:tab w:leader="none" w:pos="10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Demise of the Expansion Premises</w:t>
      </w:r>
      <w:r>
        <w:rPr>
          <w:rFonts w:ascii="Times New Roman" w:cs="Times New Roman" w:eastAsia="Times New Roman" w:hAnsi="Times New Roman"/>
          <w:sz w:val="22"/>
          <w:szCs w:val="22"/>
          <w:color w:val="auto"/>
        </w:rPr>
        <w:t>. Landlord hereby demises and leases to Tenant, and Tenant hereby leases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the Expansion Premises, for the period of time commencing as of the date that the issuance of a building permit for Tenant’s intended alterations to the Existing Fourth Floor Premises and Expansion Premises is delivered (the “</w:t>
      </w:r>
      <w:r>
        <w:rPr>
          <w:rFonts w:ascii="Times New Roman" w:cs="Times New Roman" w:eastAsia="Times New Roman" w:hAnsi="Times New Roman"/>
          <w:sz w:val="22"/>
          <w:szCs w:val="22"/>
          <w:b w:val="1"/>
          <w:bCs w:val="1"/>
          <w:color w:val="auto"/>
        </w:rPr>
        <w:t>Expansion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Premises Commencement Date</w:t>
      </w:r>
      <w:r>
        <w:rPr>
          <w:rFonts w:ascii="Times New Roman" w:cs="Times New Roman" w:eastAsia="Times New Roman" w:hAnsi="Times New Roman"/>
          <w:sz w:val="22"/>
          <w:szCs w:val="22"/>
          <w:color w:val="auto"/>
        </w:rPr>
        <w:t>”) and expiring the Expiration Date (as defined in the Existing Lease), unless sooner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terms of the Lease. Commencing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0" w:name="page191"/>
    <w:bookmarkEnd w:id="190"/>
    <w:p>
      <w:pPr>
        <w:jc w:val="both"/>
        <w:spacing w:after="0" w:line="238" w:lineRule="auto"/>
        <w:rPr>
          <w:sz w:val="20"/>
          <w:szCs w:val="20"/>
          <w:color w:val="auto"/>
        </w:rPr>
      </w:pPr>
      <w:r>
        <w:rPr>
          <w:rFonts w:ascii="Times New Roman" w:cs="Times New Roman" w:eastAsia="Times New Roman" w:hAnsi="Times New Roman"/>
          <w:sz w:val="22"/>
          <w:szCs w:val="22"/>
          <w:color w:val="auto"/>
        </w:rPr>
        <w:t>the Expansion Premises Commencement Date, any reference to the term “Premises” in the Lease shall be deemed to mean both the Existing Premises and the Expansion Premises. The demise of the Expansion Premises shall be upon all of the same terms and conditions of the Existing Lease, except as set forth herein. Effective as of the Expansion Premises Commencement Date, the Expansion Premises shall be deemed to be part of the Premises and all references in the Lease to the “Leased Premises” shall include both the Existing Premises and the Expansion Premises.</w:t>
      </w:r>
    </w:p>
    <w:p>
      <w:pPr>
        <w:spacing w:after="0" w:line="173" w:lineRule="exact"/>
        <w:rPr>
          <w:sz w:val="20"/>
          <w:szCs w:val="20"/>
          <w:color w:val="auto"/>
        </w:rPr>
      </w:pPr>
    </w:p>
    <w:p>
      <w:pPr>
        <w:ind w:right="20" w:firstLine="757"/>
        <w:spacing w:after="0" w:line="262" w:lineRule="auto"/>
        <w:tabs>
          <w:tab w:leader="none" w:pos="101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Commencing as of the Expansion Premises Commencement Date, Base Rent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Expansion Premises shall be payable monthly, as provided in Section 2.4 of the Lease,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757"/>
        <w:spacing w:after="0" w:line="246"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Operating Costs</w:t>
      </w:r>
      <w:r>
        <w:rPr>
          <w:rFonts w:ascii="Times New Roman" w:cs="Times New Roman" w:eastAsia="Times New Roman" w:hAnsi="Times New Roman"/>
          <w:sz w:val="22"/>
          <w:szCs w:val="22"/>
          <w:color w:val="auto"/>
        </w:rPr>
        <w:t>. Tenant shall pay, as Additional Rent with respect to the Expansion Premises,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 Share of Operating Costs (which include Taxes) in accordance with Section 2.4 of the Lease. Tenant’s Proportionate Share with respect to the Expansion Premises shall mean 0.11% (625 SF / 553,245 SF).</w:t>
      </w:r>
    </w:p>
    <w:p>
      <w:pPr>
        <w:spacing w:after="0" w:line="167" w:lineRule="exact"/>
        <w:rPr>
          <w:rFonts w:ascii="Times New Roman" w:cs="Times New Roman" w:eastAsia="Times New Roman" w:hAnsi="Times New Roman"/>
          <w:sz w:val="22"/>
          <w:szCs w:val="22"/>
          <w:color w:val="auto"/>
        </w:rPr>
      </w:pPr>
    </w:p>
    <w:p>
      <w:pPr>
        <w:jc w:val="both"/>
        <w:ind w:firstLine="757"/>
        <w:spacing w:after="0" w:line="252" w:lineRule="auto"/>
        <w:tabs>
          <w:tab w:leader="none" w:pos="101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Condition of Expansion Premises</w:t>
      </w:r>
      <w:r>
        <w:rPr>
          <w:rFonts w:ascii="Times New Roman" w:cs="Times New Roman" w:eastAsia="Times New Roman" w:hAnsi="Times New Roman"/>
          <w:sz w:val="21"/>
          <w:szCs w:val="21"/>
          <w:color w:val="auto"/>
        </w:rPr>
        <w:t>. Tenant shall lease the Expansion Premises “as-is”, in the condition in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Expansion Premises are in as of the Expansion Premises Commencement Date, without any obligation on the part of Landlord with respect thereto and without any representation or warranty to Tenant as to the condition of the Expansion Premises. Any work to be performed by Tenant in connection with Tenant’s occupancy of the Expansion Premises shall be considered “alterations” and shall be performed in accordance with the Existing Lease, including, without limitation, Section 4.2 thereof.</w:t>
      </w:r>
    </w:p>
    <w:p>
      <w:pPr>
        <w:spacing w:after="0" w:line="163" w:lineRule="exact"/>
        <w:rPr>
          <w:rFonts w:ascii="Times New Roman" w:cs="Times New Roman" w:eastAsia="Times New Roman" w:hAnsi="Times New Roman"/>
          <w:sz w:val="21"/>
          <w:szCs w:val="21"/>
          <w:color w:val="auto"/>
        </w:rPr>
      </w:pPr>
    </w:p>
    <w:p>
      <w:pPr>
        <w:jc w:val="both"/>
        <w:ind w:firstLine="757"/>
        <w:spacing w:after="0" w:line="241"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Electricity</w:t>
      </w:r>
      <w:r>
        <w:rPr>
          <w:rFonts w:ascii="Times New Roman" w:cs="Times New Roman" w:eastAsia="Times New Roman" w:hAnsi="Times New Roman"/>
          <w:sz w:val="22"/>
          <w:szCs w:val="22"/>
          <w:color w:val="auto"/>
        </w:rPr>
        <w:t>. In connection with Tenant’s lease of the Expansion Premises, commencing as of the Expansion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Commencement Date, Landlord shall grant to Tenant an additional wattage of normal power, in addition to Tenant’s allotment granted to Tenant in accordance with Section 2.8 of the Existing Lease, and is as described on </w:t>
      </w:r>
      <w:r>
        <w:rPr>
          <w:rFonts w:ascii="Times New Roman" w:cs="Times New Roman" w:eastAsia="Times New Roman" w:hAnsi="Times New Roman"/>
          <w:sz w:val="22"/>
          <w:szCs w:val="22"/>
          <w:u w:val="single" w:color="auto"/>
          <w:color w:val="auto"/>
        </w:rPr>
        <w:t>Exhibit B, Second Amendment</w:t>
      </w:r>
      <w:r>
        <w:rPr>
          <w:rFonts w:ascii="Times New Roman" w:cs="Times New Roman" w:eastAsia="Times New Roman" w:hAnsi="Times New Roman"/>
          <w:sz w:val="22"/>
          <w:szCs w:val="22"/>
          <w:color w:val="auto"/>
        </w:rPr>
        <w:t>, attached hereto.</w:t>
      </w:r>
    </w:p>
    <w:p>
      <w:pPr>
        <w:spacing w:after="0" w:line="171"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Security Deposit</w:t>
      </w:r>
      <w:r>
        <w:rPr>
          <w:rFonts w:ascii="Times New Roman" w:cs="Times New Roman" w:eastAsia="Times New Roman" w:hAnsi="Times New Roman"/>
          <w:sz w:val="22"/>
          <w:szCs w:val="22"/>
          <w:color w:val="auto"/>
        </w:rPr>
        <w:t>. The parties hereby acknowledge that Landlord is currently holding a security deposit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Letter of Credit in the amount of $897,120.00, pursuant to Article I, Basic Lease Information and Section 6.5 of the Lease. The parties hereby further acknowledge that Landlord shall continue to hold the Letter of Credit in accordance with Section 6.5 of the Lease.</w:t>
      </w:r>
    </w:p>
    <w:p>
      <w:pPr>
        <w:spacing w:after="0" w:line="171"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Notice Address</w:t>
      </w:r>
      <w:r>
        <w:rPr>
          <w:rFonts w:ascii="Times New Roman" w:cs="Times New Roman" w:eastAsia="Times New Roman" w:hAnsi="Times New Roman"/>
          <w:sz w:val="22"/>
          <w:szCs w:val="22"/>
          <w:color w:val="auto"/>
        </w:rPr>
        <w:t>. For all purposes of the Lease, the fourth notice address for Landlord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7.4 of the Lease is deleted and the following is substituted in its place:</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Goulston &amp; Storrs PC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One Post Office Square, Floor 25</w:t>
      </w:r>
    </w:p>
    <w:p>
      <w:pPr>
        <w:ind w:left="1500"/>
        <w:spacing w:after="0" w:line="230" w:lineRule="auto"/>
        <w:rPr>
          <w:sz w:val="20"/>
          <w:szCs w:val="20"/>
          <w:color w:val="auto"/>
        </w:rPr>
      </w:pPr>
      <w:r>
        <w:rPr>
          <w:rFonts w:ascii="Times New Roman" w:cs="Times New Roman" w:eastAsia="Times New Roman" w:hAnsi="Times New Roman"/>
          <w:sz w:val="22"/>
          <w:szCs w:val="22"/>
          <w:color w:val="auto"/>
        </w:rPr>
        <w:t>Boston, Massachusetts 02109</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15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ind w:right="20" w:firstLine="757"/>
        <w:spacing w:after="0" w:line="262"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Inapplicable Lease Provisions</w:t>
      </w:r>
      <w:r>
        <w:rPr>
          <w:rFonts w:ascii="Times New Roman" w:cs="Times New Roman" w:eastAsia="Times New Roman" w:hAnsi="Times New Roman"/>
          <w:sz w:val="22"/>
          <w:szCs w:val="22"/>
          <w:color w:val="auto"/>
        </w:rPr>
        <w:t>. Section 2 of the Lease (Landlord’s Work) and Exhibit F-2 to the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(Landlord/Tenant Matrix) shall have no applicability with respect to this Second Amendment.</w:t>
      </w:r>
    </w:p>
    <w:p>
      <w:pPr>
        <w:spacing w:after="0" w:line="149"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Each of Landlord and Tenant hereby represents and warrants to the other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full right, power and authority to enter into this Second Amendment and to perform its obligations hereunder, and that upon execution of this Second Amendment by such party, this Second Amendment shall constitute a valid and legally binding obligation of such party. Landlord represents and warrants that this Amendment is not subject to any review or consent by any third parties, including, without limitation, any lender of Landlord or that if such lender or third party consent is required that Landlord has obtained such consent.</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Ratification, Approval and Confirmation of Terms</w:t>
      </w:r>
      <w:r>
        <w:rPr>
          <w:rFonts w:ascii="Times New Roman" w:cs="Times New Roman" w:eastAsia="Times New Roman" w:hAnsi="Times New Roman"/>
          <w:sz w:val="22"/>
          <w:szCs w:val="22"/>
          <w:color w:val="auto"/>
        </w:rPr>
        <w:t>. In all respects, the Existing Lease, as hereby amended and modified, is hereby ratified, approved and confirmed.</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color w:val="auto"/>
        </w:rPr>
        <w:t>. Each of Landlord and Tenant hereby warrant and represent to the other that it has dealt with no broker in connection with this Second Amendment. Each of Landlord and Tenant hereby agree to defend, indemnify, and hold harmless the other, from and against any claim by third parties for brokerage, commissions, finders or other fees relative to this Second Amendment or the leasing of space in the Building (except as otherwise provided in the Existing Lease), and any court costs, attorneys’ fees or other costs or expenses arising therefrom, alleged to be due from such indemnifying party by any broker.</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Second Amendment is executed in any number of counterparts, each copy of which is identical, and any one of which shall be deemed to be complete in itself and may be introduced in evidence or used for any purpose without the production of the other copies. This Second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or signatures via electronic signature program (e.g., DocuSign or AdobeSign). This Second Amendment may be executed in several counterparts, each of which shall be an original, but all of which shall constitute but one and the same instrument.</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Second Amendment shall be governed by and construed in accordance with the laws of the Commonwealth of Massachusetts without regard to its conflict of law provisions and shall be binding upon and inure to the benefit of the parties hereto and their respective successors and permitted assigns. In the event of any inconsistency or conflict between the terms of this Second Amendment and of the Existing Lease, the terms of this Second Amendment shall control. Time is of the essence of all of the terms of this Second Amendment. This Second Amendment constitutes and contains the sole and entire agreement of the parties hereto with respect to the subject matter hereof. This Second Amendment may not be changed, modified, discharged or terminated orally in any manner other than by an agreement in writing signed by Tenant and Landlord or their respective representatives, successors and permitted assigns. Submission of this Second Amendment by Landlord is not an officer to enter in this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2" w:name="page193"/>
    <w:bookmarkEnd w:id="192"/>
    <w:p>
      <w:pPr>
        <w:spacing w:after="0" w:line="258" w:lineRule="auto"/>
        <w:rPr>
          <w:sz w:val="20"/>
          <w:szCs w:val="20"/>
          <w:color w:val="auto"/>
        </w:rPr>
      </w:pPr>
      <w:r>
        <w:rPr>
          <w:rFonts w:ascii="Times New Roman" w:cs="Times New Roman" w:eastAsia="Times New Roman" w:hAnsi="Times New Roman"/>
          <w:sz w:val="22"/>
          <w:szCs w:val="22"/>
          <w:color w:val="auto"/>
        </w:rPr>
        <w:t>Second Amendment but rather is a solicitation for such an offer by Tenant. Landlord shall not be bound by this Second Amendment until Landlord has executed and delivered the same to Tenant.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3" w:name="page194"/>
    <w:bookmarkEnd w:id="193"/>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Second Amendment to be duly authorized,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as of the First Amendment Effective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IDB 17-19 DRYDOCK LIMITED PARTNERSHIP,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Dana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8686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Dana Griffin</w:t>
      </w: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AKTIS ONCOLOGY,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Matthew Roden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439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Matthew Roden</w:t>
      </w:r>
    </w:p>
    <w:p>
      <w:pPr>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REVISED EXHIBIT A, SECOND AMENDMENT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PLAN OF EXISTING FOURTH FLOOR PREMISES AND EXPANSION PREMISES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B, SECOND AMENDMENT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ALLOTMENT OF ELECTRICITY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706120</wp:posOffset>
            </wp:positionV>
            <wp:extent cx="1156970" cy="5829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8293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AKTIS ONCOLOGY,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7"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1"/>
          <w:szCs w:val="21"/>
          <w:color w:val="auto"/>
        </w:rPr>
        <w:t>Aktis Oncology, Inc. (the “Company”) has adopted the following policy and procedures for securities trading by Company directors and employees (our “Insider Trading Policy”).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Kyle Kuvalanka as the Compliance Officer (with their designees, the “Compliance Officer”) to administer the policy and to be available to answer your questions.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Who Must Comply?</w:t>
      </w:r>
    </w:p>
    <w:p>
      <w:pPr>
        <w:spacing w:after="0" w:line="21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including anyone employed by or acting as a director of any of the Company’s subsidiaries, as well as any other individuals whom the Compliance Officer may designate as Insiders (defined below) because they have access to material nonpublic information about the Company.</w:t>
      </w:r>
    </w:p>
    <w:p>
      <w:pPr>
        <w:spacing w:after="0" w:line="180"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“Exchange Act”)) and other designated employees must comply with the Trading Procedures included in Part II of this Insider Trading Policy (the “Trading Procedures”); we will refer to these individuals in this policy as “Insiders.”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(“Affiliated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Persons”):</w:t>
      </w:r>
    </w:p>
    <w:p>
      <w:pPr>
        <w:spacing w:after="0" w:line="182" w:lineRule="exact"/>
        <w:rPr>
          <w:sz w:val="20"/>
          <w:szCs w:val="20"/>
          <w:color w:val="auto"/>
        </w:rPr>
      </w:pPr>
    </w:p>
    <w:p>
      <w:pPr>
        <w:ind w:left="1500" w:right="20" w:hanging="743"/>
        <w:spacing w:after="0" w:line="253" w:lineRule="auto"/>
        <w:tabs>
          <w:tab w:leader="none" w:pos="1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“Family Members” (“Family Members” are (a) your spouse or domestic partner, children, stepchildren, grandchildren, parents, stepparents, grandparents, siblings and in-laws who reside in the same household as you,</w:t>
      </w:r>
    </w:p>
    <w:p>
      <w:pPr>
        <w:ind w:left="1500" w:right="22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ind w:left="1500" w:right="60"/>
        <w:spacing w:after="0" w:line="258" w:lineRule="auto"/>
        <w:rPr>
          <w:sz w:val="20"/>
          <w:szCs w:val="20"/>
          <w:color w:val="auto"/>
        </w:rPr>
      </w:pPr>
      <w:r>
        <w:rPr>
          <w:rFonts w:ascii="Times New Roman" w:cs="Times New Roman" w:eastAsia="Times New Roman" w:hAnsi="Times New Roman"/>
          <w:sz w:val="22"/>
          <w:szCs w:val="22"/>
          <w:color w:val="auto"/>
        </w:rPr>
        <w:t>contribute. (Materially contributing to financial support would include, for example, paying an individual’s rent but not just a phone bill.));</w:t>
      </w:r>
    </w:p>
    <w:p>
      <w:pPr>
        <w:spacing w:after="0" w:line="158" w:lineRule="exact"/>
        <w:rPr>
          <w:sz w:val="20"/>
          <w:szCs w:val="20"/>
          <w:color w:val="auto"/>
        </w:rPr>
      </w:pPr>
    </w:p>
    <w:p>
      <w:pPr>
        <w:ind w:left="1500" w:right="160" w:hanging="743"/>
        <w:spacing w:after="0" w:line="244" w:lineRule="auto"/>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500" w:right="140" w:hanging="743"/>
        <w:spacing w:after="0" w:line="245" w:lineRule="auto"/>
        <w:tabs>
          <w:tab w:leader="none" w:pos="15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investment funds, trusts, retirement plans, partnerships, corporations and other types of entities over which you have the ability to influence or direct investment decisions concerning securities; provided, however,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When you are in possession of material nonpublic information about the Company, whether positive or negative, you are prohibited from trading (whether for your account of for the account of another) in the Company’s securities, which includes common stock, options to purchase common stock,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except for trades made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8" w:name="page199"/>
    <w:bookmarkEnd w:id="198"/>
    <w:p>
      <w:pPr>
        <w:spacing w:after="0" w:line="258" w:lineRule="auto"/>
        <w:rPr>
          <w:sz w:val="20"/>
          <w:szCs w:val="20"/>
          <w:color w:val="auto"/>
        </w:rPr>
      </w:pPr>
      <w:r>
        <w:rPr>
          <w:rFonts w:ascii="Times New Roman" w:cs="Times New Roman" w:eastAsia="Times New Roman" w:hAnsi="Times New Roman"/>
          <w:sz w:val="22"/>
          <w:szCs w:val="22"/>
          <w:color w:val="auto"/>
        </w:rPr>
        <w:t>pursuant to plans approved by the Compliance Officer in accordance with this policy that are intended to comply with Rule 10b5-1 under the Exchange Act.</w:t>
      </w:r>
    </w:p>
    <w:p>
      <w:pPr>
        <w:spacing w:after="0" w:line="158"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The trading prohibitions in this Insider Trading Policy do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21"/>
          <w:szCs w:val="21"/>
          <w:color w:val="auto"/>
        </w:rPr>
        <w:t>The trading prohibitions in this Insider Trading Policy do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This policy’s prohibitions against insider trading and tipping also apply to trading in securities of other companies, including the Company’s customers, suppliers, partners and other enterprises with which we are working (such as when negotiating an acquisition,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8"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one of our partners, suppliers or customers, you should consult with the Compliance Officer before trading in any of that company’s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Prohibited Transactions</w:t>
      </w:r>
    </w:p>
    <w:p>
      <w:pPr>
        <w:spacing w:after="0" w:line="204" w:lineRule="exact"/>
        <w:rPr>
          <w:sz w:val="20"/>
          <w:szCs w:val="20"/>
          <w:color w:val="auto"/>
        </w:rPr>
      </w:pPr>
    </w:p>
    <w:p>
      <w:pPr>
        <w:ind w:left="1500" w:right="220" w:hanging="743"/>
        <w:spacing w:after="0" w:line="264"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not at any time sell any securities of the Company that are not owned by you 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time of the sale (a “short sale”).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9" w:name="page200"/>
    <w:bookmarkEnd w:id="199"/>
    <w:p>
      <w:pPr>
        <w:ind w:left="1500" w:right="60" w:hanging="743"/>
        <w:spacing w:after="0" w:line="266" w:lineRule="auto"/>
        <w:tabs>
          <w:tab w:leader="none" w:pos="150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No Purchases or Sales of Derivative Securities or Hedging Transactions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 may not buy or sell puts, calls,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144" w:lineRule="exact"/>
        <w:rPr>
          <w:rFonts w:ascii="Times New Roman" w:cs="Times New Roman" w:eastAsia="Times New Roman" w:hAnsi="Times New Roman"/>
          <w:sz w:val="21"/>
          <w:szCs w:val="21"/>
          <w:color w:val="auto"/>
        </w:rPr>
      </w:pPr>
    </w:p>
    <w:p>
      <w:pPr>
        <w:ind w:left="1500" w:right="100" w:hanging="743"/>
        <w:spacing w:after="0" w:line="264" w:lineRule="auto"/>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 collateral in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account.</w:t>
      </w:r>
    </w:p>
    <w:p>
      <w:pPr>
        <w:spacing w:after="0" w:line="14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not pledge Company securities as collateral for a loan (or modify an existing pledge).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jc w:val="both"/>
        <w:ind w:right="4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Trading Periods</w:t>
      </w:r>
    </w:p>
    <w:p>
      <w:pPr>
        <w:spacing w:after="0" w:line="210"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From time to time, in connection with an announcement of material information about the Company or when significant developments or announcements are anticipated, we may impose a temporary prohibition on trading in our securities that applies to specified groups of employees or, in rare instances, all persons covered by this policy. In such event, you will be notified by e-mail and/or other means of the imposition and expected duration of the trading prohibition. During that period, no person covered by such a notice may trade in our securities (subject to the limited exceptions set forth in this policy).</w:t>
      </w:r>
    </w:p>
    <w:p>
      <w:pPr>
        <w:spacing w:after="0" w:line="162"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jc w:val="both"/>
        <w:ind w:right="6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Compliance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200" w:name="page201"/>
    <w:bookmarkEnd w:id="200"/>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w:t>
      </w:r>
    </w:p>
    <w:p>
      <w:pPr>
        <w:spacing w:after="0" w:line="177"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80" w:lineRule="exact"/>
        <w:rPr>
          <w:sz w:val="20"/>
          <w:szCs w:val="20"/>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clinical trials, including significant adverse events in a clinical trial or a clinical hold;</w:t>
      </w:r>
    </w:p>
    <w:p>
      <w:pPr>
        <w:spacing w:after="0" w:line="98" w:lineRule="exact"/>
        <w:rPr>
          <w:rFonts w:ascii="Times New Roman" w:cs="Times New Roman" w:eastAsia="Times New Roman" w:hAnsi="Times New Roman"/>
          <w:sz w:val="22"/>
          <w:szCs w:val="22"/>
          <w:color w:val="auto"/>
        </w:rPr>
      </w:pPr>
    </w:p>
    <w:p>
      <w:pPr>
        <w:ind w:left="1500" w:right="880" w:hanging="743"/>
        <w:spacing w:after="0" w:line="258" w:lineRule="auto"/>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feedback from regulators concerning the design and advancement of clinical trials or requirements for regulatory approval, including the receipt of minutes from any such interactions;</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timing or expectation of regulatory approval of our product candidates;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regulatory designations, such as orphan drug, breakthrough or new chemical entity designations;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partnering, collaboration and licensing transactions;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9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500" w:right="140" w:hanging="743"/>
        <w:spacing w:after="0" w:line="258" w:lineRule="auto"/>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member of our Board of Directors;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109"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spacing w:after="0" w:line="98" w:lineRule="exact"/>
        <w:rPr>
          <w:rFonts w:ascii="Times New Roman" w:cs="Times New Roman" w:eastAsia="Times New Roman" w:hAnsi="Times New Roman"/>
          <w:sz w:val="22"/>
          <w:szCs w:val="22"/>
          <w:color w:val="auto"/>
        </w:rPr>
      </w:pPr>
    </w:p>
    <w:p>
      <w:pPr>
        <w:ind w:left="1500" w:right="140" w:hanging="743"/>
        <w:spacing w:after="0" w:line="258" w:lineRule="auto"/>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01" w:name="page202"/>
    <w:bookmarkEnd w:id="201"/>
    <w:p>
      <w:pPr>
        <w:ind w:firstLine="749"/>
        <w:spacing w:after="0" w:line="244"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158"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To demonstrate that information is public, one must be able to point to some fact that establishes that the information has become publicly available, such as the filing of a report with the United States Securities and Exchange Commission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 session of regular trading hours on the New York Stock Exchange (“NYSE”) or the Nasdaq Stock Market (“Nasdaq”) between 9:30 a.m. and 4:00 p.m. Eastern Time (or such earlier closing time as has been set by exchange rules) has occurred.</w:t>
      </w:r>
    </w:p>
    <w:p>
      <w:pPr>
        <w:spacing w:after="0" w:line="183"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Wednesday. However, if the Company publicly discloses material information after trading begins on a Tuesday, the first time that you can buy or sell Company securities is the opening of the market on Thursday.</w:t>
      </w:r>
    </w:p>
    <w:p>
      <w:pPr>
        <w:spacing w:after="0" w:line="174"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206" w:lineRule="exact"/>
        <w:rPr>
          <w:sz w:val="20"/>
          <w:szCs w:val="20"/>
          <w:color w:val="auto"/>
        </w:rPr>
      </w:pPr>
    </w:p>
    <w:p>
      <w:pPr>
        <w:ind w:left="1140" w:hanging="383"/>
        <w:spacing w:after="0"/>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98"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75"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10" w:lineRule="exact"/>
        <w:rPr>
          <w:sz w:val="20"/>
          <w:szCs w:val="20"/>
          <w:color w:val="auto"/>
        </w:rPr>
      </w:pPr>
    </w:p>
    <w:p>
      <w:pPr>
        <w:ind w:left="440" w:hanging="432"/>
        <w:spacing w:after="0"/>
        <w:tabs>
          <w:tab w:leader="none" w:pos="440" w:val="left"/>
        </w:tabs>
        <w:numPr>
          <w:ilvl w:val="0"/>
          <w:numId w:val="10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Pre-Clearance Procedures</w:t>
      </w:r>
    </w:p>
    <w:p>
      <w:pPr>
        <w:spacing w:after="0" w:line="206"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Compliance Officer in accordance with the procedures described below. In reviewing trading requests, the Compliance Officer may consult with our other officers and/or outside legal counsel and will seek approval of their own trades from the Chief Executive Officer.</w:t>
      </w:r>
    </w:p>
    <w:p>
      <w:pPr>
        <w:spacing w:after="0" w:line="169" w:lineRule="exact"/>
        <w:rPr>
          <w:sz w:val="20"/>
          <w:szCs w:val="20"/>
          <w:color w:val="auto"/>
        </w:rPr>
      </w:pPr>
    </w:p>
    <w:p>
      <w:pPr>
        <w:ind w:left="1500" w:hanging="743"/>
        <w:spacing w:after="0"/>
        <w:tabs>
          <w:tab w:leader="none" w:pos="150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our securities unless:</w:t>
      </w:r>
    </w:p>
    <w:p>
      <w:pPr>
        <w:spacing w:after="0" w:line="210" w:lineRule="exact"/>
        <w:rPr>
          <w:rFonts w:ascii="Times New Roman" w:cs="Times New Roman" w:eastAsia="Times New Roman" w:hAnsi="Times New Roman"/>
          <w:sz w:val="22"/>
          <w:szCs w:val="22"/>
          <w:b w:val="1"/>
          <w:bCs w:val="1"/>
          <w:color w:val="auto"/>
        </w:rPr>
      </w:pPr>
    </w:p>
    <w:p>
      <w:pPr>
        <w:ind w:left="1880" w:right="20" w:hanging="375"/>
        <w:spacing w:after="0" w:line="238" w:lineRule="auto"/>
        <w:tabs>
          <w:tab w:leader="none" w:pos="18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Insider Trading Policy. To provide adequate time for the preparation of any required reports under Section 16 of the Exchange Act, a Stock Transaction Request form should, if practicable, be received by the Compliance Officer at least two (2) business days before the intended trade date;</w:t>
      </w:r>
    </w:p>
    <w:p>
      <w:pPr>
        <w:spacing w:after="0" w:line="176" w:lineRule="exact"/>
        <w:rPr>
          <w:rFonts w:ascii="Times New Roman" w:cs="Times New Roman" w:eastAsia="Times New Roman" w:hAnsi="Times New Roman"/>
          <w:sz w:val="22"/>
          <w:szCs w:val="22"/>
          <w:color w:val="auto"/>
        </w:rPr>
      </w:pPr>
    </w:p>
    <w:p>
      <w:pPr>
        <w:ind w:left="1880" w:right="180" w:hanging="375"/>
        <w:spacing w:after="0" w:line="258" w:lineRule="auto"/>
        <w:tabs>
          <w:tab w:leader="none" w:pos="18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before the proposed trade(s) that the Insider does not possess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80" w:right="100" w:hanging="375"/>
        <w:spacing w:after="0" w:line="258" w:lineRule="auto"/>
        <w:tabs>
          <w:tab w:leader="none" w:pos="18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an executive officer or director, the Insider has informed the Compliance Officer, using the Stock Transaction Request form, whether, to the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3" w:name="page204"/>
    <w:bookmarkEnd w:id="203"/>
    <w:p>
      <w:pPr>
        <w:ind w:left="1880" w:right="200"/>
        <w:spacing w:after="0" w:line="238" w:lineRule="auto"/>
        <w:rPr>
          <w:sz w:val="20"/>
          <w:szCs w:val="20"/>
          <w:color w:val="auto"/>
        </w:rPr>
      </w:pPr>
      <w:r>
        <w:rPr>
          <w:rFonts w:ascii="Times New Roman" w:cs="Times New Roman" w:eastAsia="Times New Roman" w:hAnsi="Times New Roman"/>
          <w:sz w:val="22"/>
          <w:szCs w:val="22"/>
          <w:color w:val="auto"/>
        </w:rPr>
        <w:t>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77" w:lineRule="exact"/>
        <w:rPr>
          <w:sz w:val="20"/>
          <w:szCs w:val="20"/>
          <w:color w:val="auto"/>
        </w:rPr>
      </w:pPr>
    </w:p>
    <w:p>
      <w:pPr>
        <w:ind w:left="1880" w:right="20" w:hanging="375"/>
        <w:spacing w:after="0" w:line="258" w:lineRule="auto"/>
        <w:tabs>
          <w:tab w:leader="none" w:pos="18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approved the trade(s) and has certified their approval in writing (which may be by email).</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responsibility for, and approval by the Compliance Officer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spacing w:after="0" w:line="169"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Notification of Brokers of Insider Status</w:t>
      </w:r>
    </w:p>
    <w:p>
      <w:pPr>
        <w:spacing w:after="0" w:line="210" w:lineRule="exact"/>
        <w:rPr>
          <w:sz w:val="20"/>
          <w:szCs w:val="20"/>
          <w:color w:val="auto"/>
        </w:rPr>
      </w:pPr>
    </w:p>
    <w:p>
      <w:pPr>
        <w:ind w:right="120" w:firstLine="432"/>
        <w:spacing w:after="0" w:line="239"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76" w:lineRule="exact"/>
        <w:rPr>
          <w:sz w:val="20"/>
          <w:szCs w:val="20"/>
          <w:color w:val="auto"/>
        </w:rPr>
      </w:pPr>
    </w:p>
    <w:p>
      <w:pPr>
        <w:ind w:left="1500" w:hanging="743"/>
        <w:spacing w:after="0"/>
        <w:tabs>
          <w:tab w:leader="none" w:pos="15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Compliance Officer to approve any trade. The Compliance Officer has sole discretion to reject any trading request.</w:t>
      </w:r>
    </w:p>
    <w:p>
      <w:pPr>
        <w:spacing w:after="0" w:line="158"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by a limited number of directors and employees. The Compliance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4" w:name="page205"/>
    <w:bookmarkEnd w:id="204"/>
    <w:p>
      <w:pPr>
        <w:ind w:left="1500" w:hanging="743"/>
        <w:spacing w:after="0"/>
        <w:tabs>
          <w:tab w:leader="none" w:pos="15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three (3)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58" w:lineRule="exact"/>
        <w:rPr>
          <w:sz w:val="20"/>
          <w:szCs w:val="20"/>
          <w:color w:val="auto"/>
        </w:rPr>
      </w:pPr>
    </w:p>
    <w:p>
      <w:pPr>
        <w:ind w:left="1500" w:hanging="743"/>
        <w:spacing w:after="0"/>
        <w:tabs>
          <w:tab w:leader="none" w:pos="150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80" w:firstLine="749"/>
        <w:spacing w:after="0" w:line="233" w:lineRule="auto"/>
        <w:rPr>
          <w:sz w:val="20"/>
          <w:szCs w:val="20"/>
          <w:color w:val="auto"/>
        </w:rPr>
      </w:pPr>
      <w:r>
        <w:rPr>
          <w:rFonts w:ascii="Times New Roman" w:cs="Times New Roman" w:eastAsia="Times New Roman" w:hAnsi="Times New Roman"/>
          <w:sz w:val="22"/>
          <w:szCs w:val="22"/>
          <w:color w:val="auto"/>
        </w:rPr>
        <w:t>The details of any transactions in our securities (including transactions effected pursuant to a Rule 10b5-1 Plan (as defined below))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1" w:lineRule="exact"/>
        <w:rPr>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“Rule 10b5-1 Plan”) enables Insiders to trade in Company securities outside of our trading windows, even when in possession of material nonpublic information.</w:t>
      </w:r>
    </w:p>
    <w:p>
      <w:pPr>
        <w:spacing w:after="0" w:line="181"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0" w:hanging="743"/>
        <w:spacing w:after="0"/>
        <w:tabs>
          <w:tab w:leader="none" w:pos="150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Equity and Retirement Plans.</w:t>
      </w:r>
    </w:p>
    <w:p>
      <w:pPr>
        <w:spacing w:after="0" w:line="204"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spacing w:after="0" w:line="236" w:lineRule="auto"/>
        <w:rPr>
          <w:sz w:val="20"/>
          <w:szCs w:val="20"/>
          <w:color w:val="auto"/>
        </w:rPr>
      </w:pPr>
      <w:r>
        <w:rPr>
          <w:rFonts w:ascii="Times New Roman" w:cs="Times New Roman" w:eastAsia="Times New Roman" w:hAnsi="Times New Roman"/>
          <w:sz w:val="22"/>
          <w:szCs w:val="22"/>
          <w:color w:val="auto"/>
        </w:rPr>
        <w:t>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5"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its employees that are used to purchase Company stock pursuant to the employees’ advance instructions under the Company’s 2025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176"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a committee of the Board of Directors. All waivers shall be reported to the Board of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We will deliver a copy of this Insider Trading Policy to all current employees and directors and to future employees and directors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w:t>
      </w:r>
    </w:p>
    <w:p>
      <w:pPr>
        <w:spacing w:after="0" w:line="17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At our request, directors and employees will be required to re-acknowledge and agree to comply with the Insider Trading Policy (including any amendments or modifications). For that purpose, an individual will be deemed to have acknowledged and agreed to comply with the Insider Trading Policy, as amended from time to time, when copies of those items have been delivered by regular or electronic mail (or other delivery option used by the Company) to the Compliance Officer.</w:t>
      </w:r>
    </w:p>
    <w:p>
      <w:pPr>
        <w:spacing w:after="0" w:line="162" w:lineRule="exact"/>
        <w:rPr>
          <w:sz w:val="20"/>
          <w:szCs w:val="20"/>
          <w:color w:val="auto"/>
        </w:rPr>
      </w:pPr>
    </w:p>
    <w:p>
      <w:pPr>
        <w:jc w:val="center"/>
        <w:ind w:right="-1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left="76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January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08" w:right="117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333-292679 on Form S-8 of our report dated March 30, 2026, relating to the financial statements of Aktis Oncology, Inc. appearing in this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8" w:name="page209"/>
    <w:bookmarkEnd w:id="208"/>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Roden, certify that:</w:t>
      </w:r>
    </w:p>
    <w:p>
      <w:pPr>
        <w:spacing w:after="0" w:line="117" w:lineRule="exact"/>
        <w:rPr>
          <w:sz w:val="20"/>
          <w:szCs w:val="20"/>
          <w:color w:val="auto"/>
        </w:rPr>
      </w:pPr>
    </w:p>
    <w:p>
      <w:pPr>
        <w:ind w:left="360" w:hanging="352"/>
        <w:spacing w:after="0"/>
        <w:tabs>
          <w:tab w:leader="none" w:pos="3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Aktis Oncology, Inc.;</w:t>
      </w:r>
    </w:p>
    <w:p>
      <w:pPr>
        <w:spacing w:after="0" w:line="63"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500" w:hanging="690"/>
        <w:spacing w:after="0" w:line="266" w:lineRule="auto"/>
        <w:tabs>
          <w:tab w:leader="none" w:pos="1165"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right"/>
        <w:ind w:left="1500" w:hanging="690"/>
        <w:spacing w:after="0" w:line="281" w:lineRule="auto"/>
        <w:tabs>
          <w:tab w:leader="none" w:pos="1165"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00" w:hanging="690"/>
        <w:spacing w:after="0" w:line="266" w:lineRule="auto"/>
        <w:tabs>
          <w:tab w:leader="none" w:pos="1165"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500" w:right="40" w:hanging="690"/>
        <w:spacing w:after="0" w:line="281" w:lineRule="auto"/>
        <w:tabs>
          <w:tab w:leader="none" w:pos="1165"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500" w:right="20" w:hanging="715"/>
        <w:spacing w:after="0" w:line="282" w:lineRule="auto"/>
        <w:tabs>
          <w:tab w:leader="none" w:pos="11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/s/Matthew Roden</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Matthew Roden</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Kuvalanka, certify that:</w:t>
      </w:r>
    </w:p>
    <w:p>
      <w:pPr>
        <w:spacing w:after="0" w:line="117" w:lineRule="exact"/>
        <w:rPr>
          <w:sz w:val="20"/>
          <w:szCs w:val="20"/>
          <w:color w:val="auto"/>
        </w:rPr>
      </w:pPr>
    </w:p>
    <w:p>
      <w:pPr>
        <w:ind w:left="360" w:hanging="352"/>
        <w:spacing w:after="0"/>
        <w:tabs>
          <w:tab w:leader="none" w:pos="3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Aktis Oncology, Inc.;</w:t>
      </w:r>
    </w:p>
    <w:p>
      <w:pPr>
        <w:spacing w:after="0" w:line="63"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500" w:hanging="690"/>
        <w:spacing w:after="0" w:line="266" w:lineRule="auto"/>
        <w:tabs>
          <w:tab w:leader="none" w:pos="116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right"/>
        <w:ind w:left="1500" w:hanging="690"/>
        <w:spacing w:after="0" w:line="281" w:lineRule="auto"/>
        <w:tabs>
          <w:tab w:leader="none" w:pos="116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00" w:hanging="690"/>
        <w:spacing w:after="0" w:line="266" w:lineRule="auto"/>
        <w:tabs>
          <w:tab w:leader="none" w:pos="116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3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500" w:right="40" w:hanging="690"/>
        <w:spacing w:after="0" w:line="281" w:lineRule="auto"/>
        <w:tabs>
          <w:tab w:leader="none" w:pos="116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500" w:right="20" w:hanging="715"/>
        <w:spacing w:after="0" w:line="282" w:lineRule="auto"/>
        <w:tabs>
          <w:tab w:leader="none" w:pos="11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/s/Kyle D. Kuvalanka</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Kyle D. Kuvalanka</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Aktis Oncology, Inc. (the “Company”) for the fiscal year ended December 31, 2025 as filed with the Securities and Exchange Commission on the date hereof (the “Report”), each of the undersigned hereby certify, pursuant to 18 U.S.C. § 1350, as adopted pursuant to § 906 of the Sarbanes-Oxley Act of 2002, that:</w:t>
      </w:r>
    </w:p>
    <w:p>
      <w:pPr>
        <w:spacing w:after="0" w:line="68" w:lineRule="exact"/>
        <w:rPr>
          <w:sz w:val="20"/>
          <w:szCs w:val="20"/>
          <w:color w:val="auto"/>
        </w:rPr>
      </w:pPr>
    </w:p>
    <w:p>
      <w:pPr>
        <w:ind w:left="760" w:hanging="75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Matthew Roden</w:t>
            </w:r>
          </w:p>
        </w:tc>
      </w:tr>
      <w:tr>
        <w:trPr>
          <w:trHeight w:val="187"/>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Matthew Roden, PhD</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Kyle D. Kuvalanka</w:t>
            </w:r>
          </w:p>
        </w:tc>
      </w:tr>
      <w:tr>
        <w:trPr>
          <w:trHeight w:val="187"/>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Kyle D. Kuvalanka</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500380</wp:posOffset>
            </wp:positionV>
            <wp:extent cx="1156970" cy="5829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82930"/>
                    </a:xfrm>
                    <a:prstGeom prst="rect">
                      <a:avLst/>
                    </a:prstGeom>
                    <a:noFill/>
                  </pic:spPr>
                </pic:pic>
              </a:graphicData>
            </a:graphic>
          </wp:anchor>
        </w:drawing>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AKTIS ONCOLGY,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JANUARY 8, 2026</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Aktis Oncology, Inc., a Delaware corporation (the “Company”), has adopted a Compensation Recovery Policy (this “Policy”) as described below.</w:t>
      </w:r>
    </w:p>
    <w:p>
      <w:pPr>
        <w:spacing w:after="0" w:line="154" w:lineRule="exact"/>
        <w:rPr>
          <w:sz w:val="20"/>
          <w:szCs w:val="20"/>
          <w:color w:val="auto"/>
        </w:rPr>
      </w:pPr>
    </w:p>
    <w:p>
      <w:pPr>
        <w:ind w:left="440" w:hanging="432"/>
        <w:spacing w:after="0"/>
        <w:tabs>
          <w:tab w:leader="none" w:pos="4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This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w:t>
      </w:r>
    </w:p>
    <w:p>
      <w:pPr>
        <w:spacing w:after="0" w:line="158" w:lineRule="exact"/>
        <w:rPr>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 means any Executive Officer and any other person designated by the Board or the Committee as being subject to this Policy. A person’s status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ind w:left="383"/>
        <w:spacing w:after="0" w:line="235" w:lineRule="auto"/>
        <w:rPr>
          <w:sz w:val="20"/>
          <w:szCs w:val="20"/>
          <w:color w:val="auto"/>
        </w:rPr>
      </w:pPr>
      <w:r>
        <w:rPr>
          <w:rFonts w:ascii="Times New Roman" w:cs="Times New Roman" w:eastAsia="Times New Roman" w:hAnsi="Times New Roman"/>
          <w:sz w:val="22"/>
          <w:szCs w:val="22"/>
          <w:color w:val="auto"/>
        </w:rPr>
        <w:t>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8" w:lineRule="exact"/>
        <w:rPr>
          <w:sz w:val="20"/>
          <w:szCs w:val="20"/>
          <w:color w:val="auto"/>
        </w:rPr>
      </w:pPr>
    </w:p>
    <w:p>
      <w:pPr>
        <w:ind w:left="383" w:hanging="383"/>
        <w:spacing w:after="0"/>
        <w:tabs>
          <w:tab w:leader="none" w:pos="38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the date of effectiveness of the Company’s S-1 registration statement.</w:t>
      </w:r>
    </w:p>
    <w:p>
      <w:pPr>
        <w:spacing w:after="0" w:line="206" w:lineRule="exact"/>
        <w:rPr>
          <w:rFonts w:ascii="Times New Roman" w:cs="Times New Roman" w:eastAsia="Times New Roman" w:hAnsi="Times New Roman"/>
          <w:sz w:val="22"/>
          <w:szCs w:val="22"/>
          <w:color w:val="auto"/>
        </w:rPr>
      </w:pPr>
    </w:p>
    <w:p>
      <w:pPr>
        <w:ind w:left="383" w:hanging="383"/>
        <w:spacing w:after="0" w:line="233" w:lineRule="auto"/>
        <w:tabs>
          <w:tab w:leader="none" w:pos="38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4"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39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727075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213" w:name="page214"/>
    <w:bookmarkEnd w:id="213"/>
    <w:p>
      <w:pPr>
        <w:ind w:left="1140" w:right="180" w:hanging="383"/>
        <w:spacing w:after="0" w:line="239" w:lineRule="auto"/>
        <w:tabs>
          <w:tab w:leader="none" w:pos="11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80" w:lineRule="exact"/>
        <w:rPr>
          <w:rFonts w:ascii="Times New Roman" w:cs="Times New Roman" w:eastAsia="Times New Roman" w:hAnsi="Times New Roman"/>
          <w:sz w:val="22"/>
          <w:szCs w:val="22"/>
          <w:color w:val="auto"/>
        </w:rPr>
      </w:pPr>
    </w:p>
    <w:p>
      <w:pPr>
        <w:ind w:left="1140" w:right="100" w:hanging="383"/>
        <w:spacing w:after="0" w:line="238" w:lineRule="auto"/>
        <w:tabs>
          <w:tab w:leader="none" w:pos="11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means any compensation provided, directly or indirectly, by the Company or any of its subsidiaries that is granted, earned or vested based, in whole or in part, upon the attainment of a Financial Reporting Measure and any other equity-based compensation provided by the Company or any of its subsidiaries, including, without limitation, stock options, restricted stock awards, restricted stock units and stock appreciation rights.</w:t>
      </w:r>
    </w:p>
    <w:p>
      <w:pPr>
        <w:spacing w:after="0" w:line="176" w:lineRule="exact"/>
        <w:rPr>
          <w:rFonts w:ascii="Times New Roman" w:cs="Times New Roman" w:eastAsia="Times New Roman" w:hAnsi="Times New Roman"/>
          <w:sz w:val="22"/>
          <w:szCs w:val="22"/>
          <w:color w:val="auto"/>
        </w:rPr>
      </w:pPr>
    </w:p>
    <w:p>
      <w:pPr>
        <w:ind w:left="1140" w:hanging="383"/>
        <w:spacing w:after="0" w:line="238" w:lineRule="auto"/>
        <w:tabs>
          <w:tab w:leader="none" w:pos="11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60" w:hanging="383"/>
        <w:spacing w:after="0" w:line="239" w:lineRule="auto"/>
        <w:tabs>
          <w:tab w:leader="none" w:pos="11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14" w:name="page215"/>
    <w:bookmarkEnd w:id="214"/>
    <w:p>
      <w:pPr>
        <w:ind w:right="6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20" w:hanging="369"/>
        <w:spacing w:after="0" w:line="258" w:lineRule="auto"/>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ind w:left="440" w:hanging="432"/>
        <w:spacing w:after="0"/>
        <w:tabs>
          <w:tab w:leader="none" w:pos="4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15" w:name="page216"/>
    <w:bookmarkEnd w:id="215"/>
    <w:p>
      <w:pPr>
        <w:spacing w:after="0" w:line="244" w:lineRule="auto"/>
        <w:rPr>
          <w:sz w:val="20"/>
          <w:szCs w:val="20"/>
          <w:color w:val="auto"/>
        </w:rPr>
      </w:pPr>
      <w:r>
        <w:rPr>
          <w:rFonts w:ascii="Times New Roman" w:cs="Times New Roman" w:eastAsia="Times New Roman" w:hAnsi="Times New Roman"/>
          <w:sz w:val="22"/>
          <w:szCs w:val="22"/>
          <w:color w:val="auto"/>
        </w:rPr>
        <w:t>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Compensation Recovery Repayments not Subject to Indemnification</w:t>
      </w:r>
    </w:p>
    <w:p>
      <w:pPr>
        <w:spacing w:after="0" w:line="210"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16" w:name="page217"/>
    <w:bookmarkEnd w:id="2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lvl w:ilvl="1">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1)"/>
      <w:numFmt w:val="lowerRoman"/>
      <w:start w:val="3"/>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1)"/>
      <w:numFmt w:val="lowerRoman"/>
      <w:start w:val="1"/>
    </w:lvl>
  </w:abstractNum>
  <w:abstractNum w:abstractNumId="56">
    <w:nsid w:val="57FC4FBB"/>
    <w:multiLevelType w:val="hybridMultilevel"/>
    <w:lvl w:ilvl="0">
      <w:lvlJc w:val="left"/>
      <w:lvlText w:val="%1."/>
      <w:numFmt w:val="decimal"/>
      <w:start w:val="9"/>
    </w:lvl>
  </w:abstractNum>
  <w:abstractNum w:abstractNumId="57">
    <w:nsid w:val="CC1016F"/>
    <w:multiLevelType w:val="hybridMultilevel"/>
    <w:lvl w:ilvl="0">
      <w:lvlJc w:val="left"/>
      <w:lvlText w:val="%1."/>
      <w:numFmt w:val="decimal"/>
      <w:start w:val="16"/>
    </w:lvl>
  </w:abstractNum>
  <w:abstractNum w:abstractNumId="58">
    <w:nsid w:val="43F18422"/>
    <w:multiLevelType w:val="hybridMultilevel"/>
    <w:lvl w:ilvl="0">
      <w:lvlJc w:val="left"/>
      <w:lvlText w:val="1"/>
      <w:numFmt w:val="bullet"/>
      <w:start w:val="1"/>
    </w:lvl>
  </w:abstractNum>
  <w:abstractNum w:abstractNumId="59">
    <w:nsid w:val="60EF0119"/>
    <w:multiLevelType w:val="hybridMultilevel"/>
    <w:lvl w:ilvl="0">
      <w:lvlJc w:val="left"/>
      <w:lvlText w:val="2"/>
      <w:numFmt w:val="bullet"/>
      <w:start w:val="1"/>
    </w:lvl>
  </w:abstractNum>
  <w:abstractNum w:abstractNumId="60">
    <w:nsid w:val="26F324BA"/>
    <w:multiLevelType w:val="hybridMultilevel"/>
    <w:lvl w:ilvl="0">
      <w:lvlJc w:val="left"/>
      <w:lvlText w:val="%1."/>
      <w:numFmt w:val="decimal"/>
      <w:start w:val="19"/>
    </w:lvl>
  </w:abstractNum>
  <w:abstractNum w:abstractNumId="61">
    <w:nsid w:val="7F01579B"/>
    <w:multiLevelType w:val="hybridMultilevel"/>
    <w:lvl w:ilvl="0">
      <w:lvlJc w:val="left"/>
      <w:lvlText w:val="(%1)"/>
      <w:numFmt w:val="decimal"/>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1)"/>
      <w:numFmt w:val="decimal"/>
      <w:start w:val="1"/>
    </w:lvl>
  </w:abstractNum>
  <w:abstractNum w:abstractNumId="68">
    <w:nsid w:val="6AA78F7F"/>
    <w:multiLevelType w:val="hybridMultilevel"/>
    <w:lvl w:ilvl="0">
      <w:lvlJc w:val="left"/>
      <w:lvlText w:val="(%1)"/>
      <w:numFmt w:val="lowerRoman"/>
      <w:start w:val="3"/>
    </w:lvl>
  </w:abstractNum>
  <w:abstractNum w:abstractNumId="69">
    <w:nsid w:val="7672BD23"/>
    <w:multiLevelType w:val="hybridMultilevel"/>
    <w:lvl w:ilvl="0">
      <w:lvlJc w:val="left"/>
      <w:lvlText w:val="(%1)"/>
      <w:numFmt w:val="upperLetter"/>
      <w:start w:val="2"/>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3"/>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1)"/>
      <w:numFmt w:val="lowerRoman"/>
      <w:start w:val="3"/>
    </w:lvl>
  </w:abstractNum>
  <w:abstractNum w:abstractNumId="74">
    <w:nsid w:val="73A1821B"/>
    <w:multiLevelType w:val="hybridMultilevel"/>
    <w:lvl w:ilvl="0">
      <w:lvlJc w:val="left"/>
      <w:lvlText w:val="(%1)"/>
      <w:numFmt w:val="lowerRoman"/>
      <w:start w:val="2"/>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1)"/>
      <w:numFmt w:val="lowerRoman"/>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1"/>
    </w:lvl>
  </w:abstractNum>
  <w:abstractNum w:abstractNumId="83">
    <w:nsid w:val="1FBFE8E0"/>
    <w:multiLevelType w:val="hybridMultilevel"/>
    <w:lvl w:ilvl="0">
      <w:lvlJc w:val="left"/>
      <w:lvlText w:val="(%1)"/>
      <w:numFmt w:val="decimal"/>
      <w:start w:val="1"/>
    </w:lvl>
  </w:abstractNum>
  <w:abstractNum w:abstractNumId="84">
    <w:nsid w:val="5092CA79"/>
    <w:multiLevelType w:val="hybridMultilevel"/>
    <w:lvl w:ilvl="0">
      <w:lvlJc w:val="left"/>
      <w:lvlText w:val="(%1)"/>
      <w:numFmt w:val="decimal"/>
      <w:start w:val="1"/>
    </w:lvl>
  </w:abstractNum>
  <w:abstractNum w:abstractNumId="85">
    <w:nsid w:val="1D545C4D"/>
    <w:multiLevelType w:val="hybridMultilevel"/>
    <w:lvl w:ilvl="0">
      <w:lvlJc w:val="left"/>
      <w:lvlText w:val="*"/>
      <w:numFmt w:val="bullet"/>
      <w:start w:val="1"/>
    </w:lvl>
    <w:lvl w:ilvl="1">
      <w:lvlJc w:val="left"/>
      <w:lvlText w:val="%2"/>
      <w:numFmt w:val="decimal"/>
      <w:start w:val="104"/>
    </w:lvl>
  </w:abstractNum>
  <w:abstractNum w:abstractNumId="86">
    <w:nsid w:val="59ADEA3D"/>
    <w:multiLevelType w:val="hybridMultilevel"/>
    <w:lvl w:ilvl="0">
      <w:lvlJc w:val="left"/>
      <w:lvlText w:val="#"/>
      <w:numFmt w:val="bullet"/>
      <w:start w:val="1"/>
    </w:lvl>
    <w:lvl w:ilvl="1">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1."/>
      <w:numFmt w:val="decimal"/>
      <w:start w:val="1"/>
    </w:lvl>
  </w:abstractNum>
  <w:abstractNum w:abstractNumId="89">
    <w:nsid w:val="1D9F6E5F"/>
    <w:multiLevelType w:val="hybridMultilevel"/>
    <w:lvl w:ilvl="0">
      <w:lvlJc w:val="left"/>
      <w:lvlText w:val="%1."/>
      <w:numFmt w:val="decimal"/>
      <w:start w:val="2"/>
    </w:lvl>
  </w:abstractNum>
  <w:abstractNum w:abstractNumId="90">
    <w:nsid w:val="97E1B4E"/>
    <w:multiLevelType w:val="hybridMultilevel"/>
    <w:lvl w:ilvl="0">
      <w:lvlJc w:val="left"/>
      <w:lvlText w:val="%1."/>
      <w:numFmt w:val="decimal"/>
      <w:start w:val="3"/>
    </w:lvl>
  </w:abstractNum>
  <w:abstractNum w:abstractNumId="91">
    <w:nsid w:val="51088277"/>
    <w:multiLevelType w:val="hybridMultilevel"/>
    <w:lvl w:ilvl="0">
      <w:lvlJc w:val="left"/>
      <w:lvlText w:val="%1."/>
      <w:numFmt w:val="decimal"/>
      <w:start w:val="8"/>
    </w:lvl>
  </w:abstractNum>
  <w:abstractNum w:abstractNumId="92">
    <w:nsid w:val="1CA0C5FA"/>
    <w:multiLevelType w:val="hybridMultilevel"/>
    <w:lvl w:ilvl="0">
      <w:lvlJc w:val="left"/>
      <w:lvlText w:val="%1."/>
      <w:numFmt w:val="upperLetter"/>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1."/>
      <w:numFmt w:val="upperLetter"/>
      <w:start w:val="2"/>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1."/>
      <w:numFmt w:val="upperLetter"/>
      <w:start w:val="3"/>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1."/>
      <w:numFmt w:val="upperLetter"/>
      <w:start w:val="4"/>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1."/>
      <w:numFmt w:val="upperLetter"/>
      <w:start w:val="5"/>
    </w:lvl>
  </w:abstractNum>
  <w:abstractNum w:abstractNumId="104">
    <w:nsid w:val="2B0D8DBE"/>
    <w:multiLevelType w:val="hybridMultilevel"/>
    <w:lvl w:ilvl="0">
      <w:lvlJc w:val="left"/>
      <w:lvlText w:val="%1."/>
      <w:numFmt w:val="upperLetter"/>
      <w:start w:val="1"/>
    </w:lvl>
  </w:abstractNum>
  <w:abstractNum w:abstractNumId="105">
    <w:nsid w:val="6C80EC70"/>
    <w:multiLevelType w:val="hybridMultilevel"/>
    <w:lvl w:ilvl="0">
      <w:lvlJc w:val="left"/>
      <w:lvlText w:val="%1."/>
      <w:numFmt w:val="decimal"/>
      <w:start w:val="1"/>
    </w:lvl>
    <w:lvl w:ilvl="1">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1."/>
      <w:numFmt w:val="decimal"/>
      <w:start w:val="2"/>
    </w:lvl>
  </w:abstractNum>
  <w:abstractNum w:abstractNumId="108">
    <w:nsid w:val="2C27173B"/>
    <w:multiLevelType w:val="hybridMultilevel"/>
    <w:lvl w:ilvl="0">
      <w:lvlJc w:val="left"/>
      <w:lvlText w:val="%1."/>
      <w:numFmt w:val="decimal"/>
      <w:start w:val="4"/>
    </w:lvl>
  </w:abstractNum>
  <w:abstractNum w:abstractNumId="109">
    <w:nsid w:val="4C9B0904"/>
    <w:multiLevelType w:val="hybridMultilevel"/>
    <w:lvl w:ilvl="0">
      <w:lvlJc w:val="left"/>
      <w:lvlText w:val="%1."/>
      <w:numFmt w:val="decimal"/>
      <w:start w:val="5"/>
    </w:lvl>
  </w:abstractNum>
  <w:abstractNum w:abstractNumId="110">
    <w:nsid w:val="6AA7B75C"/>
    <w:multiLevelType w:val="hybridMultilevel"/>
    <w:lvl w:ilvl="0">
      <w:lvlJc w:val="left"/>
      <w:lvlText w:val="%1."/>
      <w:numFmt w:val="decimal"/>
      <w:start w:val="6"/>
    </w:lvl>
  </w:abstractNum>
  <w:abstractNum w:abstractNumId="111">
    <w:nsid w:val="1DF029D3"/>
    <w:multiLevelType w:val="hybridMultilevel"/>
    <w:lvl w:ilvl="0">
      <w:lvlJc w:val="left"/>
      <w:lvlText w:val="%1."/>
      <w:numFmt w:val="upperLetter"/>
      <w:start w:val="2"/>
    </w:lvl>
    <w:lvl w:ilvl="1">
      <w:lvlJc w:val="left"/>
      <w:lvlText w:val="%2."/>
      <w:numFmt w:val="decimal"/>
      <w:start w:val="1"/>
    </w:lvl>
  </w:abstractNum>
  <w:abstractNum w:abstractNumId="112">
    <w:nsid w:val="5675FF36"/>
    <w:multiLevelType w:val="hybridMultilevel"/>
    <w:lvl w:ilvl="0">
      <w:lvlJc w:val="left"/>
      <w:lvlText w:val="%1."/>
      <w:numFmt w:val="decimal"/>
      <w:start w:val="2"/>
    </w:lvl>
  </w:abstractNum>
  <w:abstractNum w:abstractNumId="113">
    <w:nsid w:val="3DD15094"/>
    <w:multiLevelType w:val="hybridMultilevel"/>
    <w:lvl w:ilvl="0">
      <w:lvlJc w:val="left"/>
      <w:lvlText w:val="%1."/>
      <w:numFmt w:val="upperLetter"/>
      <w:start w:val="3"/>
    </w:lvl>
  </w:abstractNum>
  <w:abstractNum w:abstractNumId="114">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5">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decimal"/>
      <w:start w:val="2"/>
    </w:lvl>
  </w:abstractNum>
  <w:abstractNum w:abstractNumId="119">
    <w:nsid w:val="53B0A9E"/>
    <w:multiLevelType w:val="hybridMultilevel"/>
    <w:lvl w:ilvl="0">
      <w:lvlJc w:val="left"/>
      <w:lvlText w:val="%1."/>
      <w:numFmt w:val="decimal"/>
      <w:start w:val="3"/>
    </w:lvl>
    <w:lvl w:ilvl="1">
      <w:lvlJc w:val="left"/>
      <w:lvlText w:val="%2."/>
      <w:numFmt w:val="lowerLetter"/>
      <w:start w:val="1"/>
    </w:lvl>
  </w:abstractNum>
  <w:abstractNum w:abstractNumId="120">
    <w:nsid w:val="34FD6B4F"/>
    <w:multiLevelType w:val="hybridMultilevel"/>
    <w:lvl w:ilvl="0">
      <w:lvlJc w:val="left"/>
      <w:lvlText w:val="%1."/>
      <w:numFmt w:val="lowerLetter"/>
      <w:start w:val="6"/>
    </w:lvl>
  </w:abstractNum>
  <w:abstractNum w:abstractNumId="121">
    <w:nsid w:val="5915FF32"/>
    <w:multiLevelType w:val="hybridMultilevel"/>
    <w:lvl w:ilvl="0">
      <w:lvlJc w:val="left"/>
      <w:lvlText w:val="%1"/>
      <w:numFmt w:val="decimal"/>
      <w:start w:val="1"/>
    </w:lvl>
    <w:lvl w:ilvl="1">
      <w:lvlJc w:val="left"/>
      <w:lvlText w:val="%2."/>
      <w:numFmt w:val="lowerLetter"/>
      <w:start w:val="10"/>
    </w:lvl>
  </w:abstractNum>
  <w:abstractNum w:abstractNumId="122">
    <w:nsid w:val="56438D15"/>
    <w:multiLevelType w:val="hybridMultilevel"/>
    <w:lvl w:ilvl="0">
      <w:lvlJc w:val="left"/>
      <w:lvlText w:val="%1."/>
      <w:numFmt w:val="decimal"/>
      <w:start w:val="4"/>
    </w:lvl>
    <w:lvl w:ilvl="1">
      <w:lvlJc w:val="left"/>
      <w:lvlText w:val="%2"/>
      <w:numFmt w:val="lowerLetter"/>
      <w:start w:val="1"/>
    </w:lvl>
  </w:abstractNum>
  <w:abstractNum w:abstractNumId="123">
    <w:nsid w:val="519E3149"/>
    <w:multiLevelType w:val="hybridMultilevel"/>
    <w:lvl w:ilvl="0">
      <w:lvlJc w:val="left"/>
      <w:lvlText w:val="%1."/>
      <w:numFmt w:val="decimal"/>
      <w:start w:val="6"/>
    </w:lvl>
  </w:abstractNum>
  <w:abstractNum w:abstractNumId="124">
    <w:nsid w:val="2C6E4AFD"/>
    <w:multiLevelType w:val="hybridMultilevel"/>
    <w:lvl w:ilvl="0">
      <w:lvlJc w:val="left"/>
      <w:lvlText w:val="%1."/>
      <w:numFmt w:val="decimal"/>
      <w:start w:val="7"/>
    </w:lvl>
  </w:abstractNum>
  <w:abstractNum w:abstractNumId="125">
    <w:nsid w:val="17A1B582"/>
    <w:multiLevelType w:val="hybridMultilevel"/>
    <w:lvl w:ilvl="0">
      <w:lvlJc w:val="left"/>
      <w:lvlText w:val="%1."/>
      <w:numFmt w:val="lowerLetter"/>
      <w:start w:val="1"/>
    </w:lvl>
  </w:abstractNum>
  <w:abstractNum w:abstractNumId="126">
    <w:nsid w:val="4DF72E4E"/>
    <w:multiLevelType w:val="hybridMultilevel"/>
    <w:lvl w:ilvl="0">
      <w:lvlJc w:val="left"/>
      <w:lvlText w:val="%1."/>
      <w:numFmt w:val="decimal"/>
      <w:start w:val="8"/>
    </w:lvl>
  </w:abstractNum>
  <w:abstractNum w:abstractNumId="127">
    <w:nsid w:val="5046B5A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jpe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jpe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397" Type="http://schemas.openxmlformats.org/officeDocument/2006/relationships/hyperlink" Target="https://www.sec.gov/Archives/edgar/data/2035832/000119312526010354/d932945dex31.htm" TargetMode="External"/><Relationship Id="rId398" Type="http://schemas.openxmlformats.org/officeDocument/2006/relationships/hyperlink" Target="https://www.sec.gov/Archives/edgar/data/2035832/000119312526010354/d932945dex32.htm" TargetMode="External"/><Relationship Id="rId399" Type="http://schemas.openxmlformats.org/officeDocument/2006/relationships/hyperlink" Target="https://www.sec.gov/Archives/edgar/data/2035832/000119312525326780/d875386dex41.htm" TargetMode="External"/><Relationship Id="rId400" Type="http://schemas.openxmlformats.org/officeDocument/2006/relationships/hyperlink" Target="https://www.sec.gov/Archives/edgar/data/2035832/000119312526001466/d875386dex42.htm" TargetMode="External"/><Relationship Id="rId401" Type="http://schemas.openxmlformats.org/officeDocument/2006/relationships/hyperlink" Target="https://www.sec.gov/Archives/edgar/data/2035832/000119312525326780/d875386dex101.htm" TargetMode="External"/><Relationship Id="rId402" Type="http://schemas.openxmlformats.org/officeDocument/2006/relationships/hyperlink" Target="https://www.sec.gov/Archives/edgar/data/2035832/000119312526010525/d77187dex102.htm" TargetMode="External"/><Relationship Id="rId403" Type="http://schemas.openxmlformats.org/officeDocument/2006/relationships/hyperlink" Target="https://www.sec.gov/Archives/edgar/data/2035832/000119312526010525/d77187dex103.htm" TargetMode="External"/><Relationship Id="rId404" Type="http://schemas.openxmlformats.org/officeDocument/2006/relationships/hyperlink" Target="https://www.sec.gov/Archives/edgar/data/2035832/000119312525326780/d875386dex104.htm" TargetMode="External"/><Relationship Id="rId405" Type="http://schemas.openxmlformats.org/officeDocument/2006/relationships/hyperlink" Target="https://www.sec.gov/Archives/edgar/data/2035832/000119312526001466/d875386dex105.htm" TargetMode="External"/><Relationship Id="rId406" Type="http://schemas.openxmlformats.org/officeDocument/2006/relationships/hyperlink" Target="https://www.sec.gov/Archives/edgar/data/2035832/000119312525326780/d875386dex106.htm" TargetMode="External"/><Relationship Id="rId407" Type="http://schemas.openxmlformats.org/officeDocument/2006/relationships/hyperlink" Target="https://www.sec.gov/Archives/edgar/data/2035832/000119312526001466/d875386dex107.htm" TargetMode="External"/><Relationship Id="rId408" Type="http://schemas.openxmlformats.org/officeDocument/2006/relationships/hyperlink" Target="https://www.sec.gov/Archives/edgar/data/2035832/000119312526001466/d875386dex108.htm" TargetMode="External"/><Relationship Id="rId409" Type="http://schemas.openxmlformats.org/officeDocument/2006/relationships/hyperlink" Target="https://www.sec.gov/Archives/edgar/data/2035832/000119312526001466/d875386dex109.htm" TargetMode="External"/><Relationship Id="rId410" Type="http://schemas.openxmlformats.org/officeDocument/2006/relationships/hyperlink" Target="https://www.sec.gov/Archives/edgar/data/2035832/000119312526001466/d875386dex1010.htm" TargetMode="External"/><Relationship Id="rId411" Type="http://schemas.openxmlformats.org/officeDocument/2006/relationships/hyperlink" Target="https://www.sec.gov/Archives/edgar/data/2035832/000119312526001466/d875386dex1011.htm" TargetMode="External"/><Relationship Id="rId412" Type="http://schemas.openxmlformats.org/officeDocument/2006/relationships/hyperlink" Target="https://www.sec.gov/Archives/edgar/data/2035832/000119312526001466/d875386dex1012.htm" TargetMode="External"/><Relationship Id="rId415" Type="http://schemas.openxmlformats.org/officeDocument/2006/relationships/hyperlink" Target="https://www.sec.gov/Archives/edgar/data/2035832/000119312525326780/d875386dex1011.htm" TargetMode="External"/><Relationship Id="rId416" Type="http://schemas.openxmlformats.org/officeDocument/2006/relationships/hyperlink" Target="https://www.sec.gov/Archives/edgar/data/2035832/000119312525326780/d875386dex1012.htm" TargetMode="External"/><Relationship Id="rId417" Type="http://schemas.openxmlformats.org/officeDocument/2006/relationships/hyperlink" Target="https://www.sec.gov/Archives/edgar/data/2035832/000119312525326780/d875386dex1013.htm" TargetMode="External"/><Relationship Id="rId418" Type="http://schemas.openxmlformats.org/officeDocument/2006/relationships/hyperlink" Target="https://www.sec.gov/Archives/edgar/data/2035832/000119312525326780/d875386dex1014.htm" TargetMode="External"/><Relationship Id="rId419" Type="http://schemas.openxmlformats.org/officeDocument/2006/relationships/hyperlink" Target="https://www.sec.gov/Archives/edgar/data/2035832/000119312525326780/d875386dex1015.htm" TargetMode="External"/><Relationship Id="rId420" Type="http://schemas.openxmlformats.org/officeDocument/2006/relationships/hyperlink" Target="https://www.sec.gov/Archives/edgar/data/2035832/000119312525326780/d87538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2026-03-30T16:48:22Z</dcterms:created>
  <dcterms:modified xsi:type="dcterms:W3CDTF">2026-03-30T16:48:22Z</dcterms:modified>
</cp:coreProperties>
</file>